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CDS Models Workflow Manual</w:t>
      </w:r>
    </w:p>
    <w:p>
      <w:r>
        <w:t>Release edition 18 September 2026</w:t>
      </w:r>
    </w:p>
    <w:p>
      <w:r>
        <w:t>This manual explains which records and model choices supply each calculation in CDS. Follow the workflow from constituents through micromechanics and laminate definition to the applicable load and response. Thermal, moisture and electromagnetic studies have distinct input requirements; a link in the workflow must reflect an actual dependency, not an assumed coupling.</w:t>
      </w:r>
    </w:p>
    <w:p>
      <w:pPr>
        <w:pStyle w:val="Heading2"/>
      </w:pPr>
      <w:r>
        <w:t>How to use this manual</w:t>
      </w:r>
    </w:p>
    <w:p>
      <w:r>
        <w:t>Read the assumptions before choosing a model. Keep units consistent, inspect solver notices and use the recorded checks to distinguish a completed calculation from a validated result. Chapter links lead to the interactive website; exercise links open the Workbench. Account-controlled database downloads and classroom materials remain subject to their existing access rules.</w:t>
      </w:r>
    </w:p>
    <w:p>
      <w:r>
        <w:t>Equations are editable Word mathematics. This PDF is exported from the same Word document. Historical reference chapters retain their stated scope; the current workflow and exercise chapters describe the available CDS implementation.</w:t>
      </w:r>
    </w:p>
    <w:p>
      <w:r>
        <w:br w:type="page"/>
      </w:r>
    </w:p>
    <w:p>
      <w:pPr>
        <w:pStyle w:val="Heading1"/>
      </w:pPr>
      <w:r>
        <w:t>Contents</w:t>
      </w:r>
    </w:p>
    <w:p>
      <w:hyperlink w:anchor="chapter_1">
        <w:r>
          <w:t>1  Fully integrated Micro to Macro Engineering.</w:t>
        </w:r>
      </w:hyperlink>
    </w:p>
    <w:p>
      <w:hyperlink w:anchor="chapter_2">
        <w:r>
          <w:t>2  Turn model output into repeatable engineering evidence.</w:t>
        </w:r>
      </w:hyperlink>
    </w:p>
    <w:p>
      <w:hyperlink w:anchor="chapter_3">
        <w:r>
          <w:t>3  Connect engineering work through the CDS cloud.</w:t>
        </w:r>
      </w:hyperlink>
    </w:p>
    <w:p>
      <w:hyperlink w:anchor="chapter_4">
        <w:r>
          <w:t>4  Evaluate the complete composite structure.</w:t>
        </w:r>
      </w:hyperlink>
    </w:p>
    <w:p>
      <w:hyperlink w:anchor="chapter_5">
        <w:r>
          <w:t>5  Turn ply definitions into laminate decisions.</w:t>
        </w:r>
      </w:hyperlink>
    </w:p>
    <w:p>
      <w:hyperlink w:anchor="chapter_6">
        <w:r>
          <w:t>6  Build a trusted materials foundation.</w:t>
        </w:r>
      </w:hyperlink>
    </w:p>
    <w:p>
      <w:hyperlink w:anchor="chapter_7">
        <w:r>
          <w:t>7  Translate constituents into effective material behavior.</w:t>
        </w:r>
      </w:hyperlink>
    </w:p>
    <w:p>
      <w:hyperlink w:anchor="chapter_8">
        <w:r>
          <w:t>8  Models you can use. Connections you can follow.</w:t>
        </w:r>
      </w:hyperlink>
    </w:p>
    <w:p>
      <w:hyperlink w:anchor="chapter_9">
        <w:r>
          <w:t>9  Connect design intent to process behavior.</w:t>
        </w:r>
      </w:hyperlink>
    </w:p>
    <w:p>
      <w:bookmarkStart w:id="1" w:name="chapter_1"/>
      <w:pPr>
        <w:pStyle w:val="Heading1"/>
        <w:pageBreakBefore/>
      </w:pPr>
      <w:r>
        <w:t>1 Fully integrated Micro to Macro Engineering</w:t>
      </w:r>
      <w:bookmarkEnd w:id="1"/>
    </w:p>
    <w:p>
      <w:pPr>
        <w:pStyle w:val="Caption"/>
      </w:pPr>
      <w:hyperlink r:id="rId10">
        <w:r>
          <w:rPr>
            <w:color w:val="176EA4"/>
          </w:rPr>
          <w:t>Online chapter</w:t>
        </w:r>
      </w:hyperlink>
      <w:r>
        <w:t xml:space="preserve"> </w:t>
      </w:r>
    </w:p>
    <w:p>
      <w:pPr/>
      <w:r>
        <w:rPr>
          <w:b w:val="0"/>
          <w:i w:val="0"/>
        </w:rPr>
        <w:t>Follow one connected engineering record through materials, micromechanics, laminates, processing, structural design, and the CDS cloud.</w:t>
      </w:r>
    </w:p>
    <w:p>
      <w:pPr>
        <w:pStyle w:val="Heading2"/>
      </w:pPr>
      <w:r>
        <w:t>Integrated solver hierarchy</w:t>
      </w:r>
    </w:p>
    <w:p>
      <w:pPr/>
      <w:r>
        <w:rPr>
          <w:b w:val="0"/>
          <w:i w:val="0"/>
        </w:rPr>
        <w:t xml:space="preserve">Select a colored layer to explore its workflow, or a model box to open its theory. The connected study branches below cover all </w:t>
      </w:r>
      <w:r>
        <w:rPr>
          <w:b w:val="0"/>
          <w:i w:val="0"/>
        </w:rPr>
        <w:t xml:space="preserve"> </w:t>
      </w:r>
      <w:r>
        <w:rPr>
          <w:b w:val="0"/>
          <w:i w:val="0"/>
        </w:rPr>
        <w:t>42</w:t>
      </w:r>
      <w:r>
        <w:rPr>
          <w:b w:val="0"/>
          <w:i w:val="0"/>
        </w:rPr>
        <w:t xml:space="preserve"> </w:t>
      </w:r>
      <w:r>
        <w:rPr>
          <w:b w:val="0"/>
          <w:i w:val="0"/>
        </w:rPr>
        <w:t xml:space="preserve"> current model families, including the specialist studies.</w:t>
      </w:r>
    </w:p>
    <w:p>
      <w:pPr>
        <w:pStyle w:val="Caption"/>
        <w:keepNext/>
      </w:pPr>
      <w:r>
        <w:t>Integrated composite solver hierarchy from materials and Cox elastic micromechanics through CLT, FSDT, cylinder mechanics, LaRC04, cohesive delamination and separate fatigue assessment — part 1 of 2</w:t>
      </w:r>
    </w:p>
    <w:p>
      <w:pPr>
        <w:keepNext w:val="0"/>
        <w:jc w:val="center"/>
      </w:pPr>
      <w:r>
        <w:drawing>
          <wp:inline xmlns:a="http://schemas.openxmlformats.org/drawingml/2006/main" xmlns:pic="http://schemas.openxmlformats.org/drawingml/2006/picture">
            <wp:extent cx="6217920" cy="5532818"/>
            <wp:docPr id="1" name="Picture 1" descr="Integrated composite solver hierarchy from materials and Cox elastic micromechanics through CLT, FSDT, cylinder mechanics, LaRC04, cohesive delamination and separate fatigue assessment"/>
            <wp:cNvGraphicFramePr>
              <a:graphicFrameLocks noChangeAspect="1"/>
            </wp:cNvGraphicFramePr>
            <a:graphic>
              <a:graphicData uri="http://schemas.openxmlformats.org/drawingml/2006/picture">
                <pic:pic>
                  <pic:nvPicPr>
                    <pic:cNvPr id="0" name="rsvg-6a63c41732bdfe0e338eb1f124e7cce6d300563dbc4466fa8745594c283bf316-part-1.png"/>
                    <pic:cNvPicPr/>
                  </pic:nvPicPr>
                  <pic:blipFill>
                    <a:blip r:embed="rId11"/>
                    <a:stretch>
                      <a:fillRect/>
                    </a:stretch>
                  </pic:blipFill>
                  <pic:spPr>
                    <a:xfrm>
                      <a:off x="0" y="0"/>
                      <a:ext cx="6217920" cy="5532818"/>
                    </a:xfrm>
                    <a:prstGeom prst="rect"/>
                  </pic:spPr>
                </pic:pic>
              </a:graphicData>
            </a:graphic>
          </wp:inline>
        </w:drawing>
      </w:r>
    </w:p>
    <w:p>
      <w:pPr>
        <w:pStyle w:val="Caption"/>
        <w:keepNext/>
      </w:pPr>
      <w:r>
        <w:t>Integrated composite solver hierarchy from materials and Cox elastic micromechanics through CLT, FSDT, cylinder mechanics, LaRC04, cohesive delamination and separate fatigue assessment — part 2 of 2</w:t>
      </w:r>
    </w:p>
    <w:p>
      <w:pPr>
        <w:keepNext w:val="0"/>
        <w:jc w:val="center"/>
      </w:pPr>
      <w:r>
        <w:drawing>
          <wp:inline xmlns:a="http://schemas.openxmlformats.org/drawingml/2006/main" xmlns:pic="http://schemas.openxmlformats.org/drawingml/2006/picture">
            <wp:extent cx="6217920" cy="5489858"/>
            <wp:docPr id="2" name="Picture 2" descr="Integrated composite solver hierarchy from materials and Cox elastic micromechanics through CLT, FSDT, cylinder mechanics, LaRC04, cohesive delamination and separate fatigue assessment"/>
            <wp:cNvGraphicFramePr>
              <a:graphicFrameLocks noChangeAspect="1"/>
            </wp:cNvGraphicFramePr>
            <a:graphic>
              <a:graphicData uri="http://schemas.openxmlformats.org/drawingml/2006/picture">
                <pic:pic>
                  <pic:nvPicPr>
                    <pic:cNvPr id="0" name="rsvg-6a63c41732bdfe0e338eb1f124e7cce6d300563dbc4466fa8745594c283bf316-part-2.png"/>
                    <pic:cNvPicPr/>
                  </pic:nvPicPr>
                  <pic:blipFill>
                    <a:blip r:embed="rId12"/>
                    <a:stretch>
                      <a:fillRect/>
                    </a:stretch>
                  </pic:blipFill>
                  <pic:spPr>
                    <a:xfrm>
                      <a:off x="0" y="0"/>
                      <a:ext cx="6217920" cy="5489858"/>
                    </a:xfrm>
                    <a:prstGeom prst="rect"/>
                  </pic:spPr>
                </pic:pic>
              </a:graphicData>
            </a:graphic>
          </wp:inline>
        </w:drawing>
      </w:r>
    </w:p>
    <w:p>
      <w:pPr/>
      <w:r>
        <w:rPr>
          <w:b w:val="0"/>
          <w:i w:val="0"/>
        </w:rPr>
        <w:t xml:space="preserve">Each branch has its own compatible inputs and assumptions—not every model runs in one simulation. Fatigue S–N and calibrated residual-property studies are separate from progressive failure; neither automatically changes the saved laminate or optimization properties. </w:t>
      </w:r>
      <w:hyperlink r:id="rId13">
        <w:r>
          <w:rPr>
            <w:color w:val="176EA4"/>
          </w:rPr>
          <w:t>∑ Fatigue theory</w:t>
        </w:r>
      </w:hyperlink>
      <w:r>
        <w:t xml:space="preserve"> </w:t>
      </w:r>
      <w:r>
        <w:rPr>
          <w:b w:val="0"/>
          <w:i w:val="0"/>
        </w:rPr>
        <w:t>.</w:t>
      </w:r>
    </w:p>
    <w:p>
      <w:pPr>
        <w:pStyle w:val="Heading3"/>
      </w:pPr>
      <w:r>
        <w:t>Connected model branches</w:t>
      </w:r>
    </w:p>
    <w:p>
      <w:pPr>
        <w:keepNext/>
      </w:pPr>
      <w:r>
        <w:rPr>
          <w:b/>
          <w:i w:val="0"/>
        </w:rPr>
        <w:t>Micromechanics</w:t>
      </w:r>
      <w:r>
        <w:rPr>
          <w:b/>
          <w:i w:val="0"/>
        </w:rPr>
        <w:t xml:space="preserve"> </w:t>
      </w:r>
      <w:r>
        <w:rPr>
          <w:b/>
          <w:i w:val="0"/>
        </w:rPr>
        <w:t xml:space="preserve"> </w:t>
      </w:r>
      <w:r>
        <w:rPr>
          <w:b/>
          <w:i w:val="0"/>
        </w:rPr>
        <w:t xml:space="preserve">· </w:t>
      </w:r>
      <w:r>
        <w:rPr>
          <w:b/>
          <w:i w:val="0"/>
        </w:rPr>
        <w:t xml:space="preserve"> </w:t>
      </w:r>
      <w:r>
        <w:rPr>
          <w:b/>
          <w:i w:val="0"/>
        </w:rPr>
        <w:t>9</w:t>
      </w:r>
      <w:r>
        <w:rPr>
          <w:b/>
        </w:rPr>
        <w:t xml:space="preserve"> </w:t>
      </w:r>
    </w:p>
    <w:p>
      <w:r>
        <w:rPr>
          <w:b w:val="0"/>
          <w:i w:val="0"/>
        </w:rPr>
        <w:t>Input ↓</w:t>
      </w:r>
      <w:r>
        <w:t xml:space="preserve"> </w:t>
      </w:r>
      <w:r>
        <w:rPr>
          <w:b w:val="0"/>
          <w:i w:val="0"/>
        </w:rPr>
        <w:t>Constituents, architecture, fractions and calibrated modifiers</w:t>
      </w:r>
      <w:r>
        <w:t xml:space="preserve"> </w:t>
      </w:r>
      <w:r>
        <w:rPr>
          <w:b w:val="0"/>
          <w:i w:val="0"/>
        </w:rPr>
        <w:t>Result ↓</w:t>
      </w:r>
      <w:r>
        <w:t xml:space="preserve"> </w:t>
      </w:r>
      <w:r>
        <w:rPr>
          <w:b w:val="0"/>
          <w:i w:val="0"/>
        </w:rPr>
        <w:t>Reference ply properties for each linked laminate ply</w:t>
      </w:r>
    </w:p>
    <w:p>
      <w:pPr>
        <w:pStyle w:val="ListBullet"/>
      </w:pPr>
      <w:r>
        <w:rPr>
          <w:b w:val="0"/>
          <w:i w:val="0"/>
        </w:rPr>
        <w:t>Halpin–Tsai</w:t>
      </w:r>
    </w:p>
    <w:p>
      <w:pPr>
        <w:pStyle w:val="ListBullet"/>
      </w:pPr>
      <w:r>
        <w:rPr>
          <w:b w:val="0"/>
          <w:i w:val="0"/>
        </w:rPr>
        <w:t>Rule of mixtures</w:t>
      </w:r>
    </w:p>
    <w:p>
      <w:pPr>
        <w:pStyle w:val="ListBullet"/>
      </w:pPr>
      <w:r>
        <w:rPr>
          <w:b w:val="0"/>
          <w:i w:val="0"/>
        </w:rPr>
        <w:t>Modified rule of mixtures</w:t>
      </w:r>
    </w:p>
    <w:p>
      <w:pPr>
        <w:pStyle w:val="ListBullet"/>
      </w:pPr>
      <w:r>
        <w:rPr>
          <w:b w:val="0"/>
          <w:i w:val="0"/>
        </w:rPr>
        <w:t>Chamis</w:t>
      </w:r>
    </w:p>
    <w:p>
      <w:pPr>
        <w:pStyle w:val="ListBullet"/>
      </w:pPr>
      <w:r>
        <w:rPr>
          <w:b w:val="0"/>
          <w:i w:val="0"/>
        </w:rPr>
        <w:t>Mori–Tanaka</w:t>
      </w:r>
    </w:p>
    <w:p>
      <w:pPr>
        <w:pStyle w:val="ListBullet"/>
      </w:pPr>
      <w:r>
        <w:rPr>
          <w:b w:val="0"/>
          <w:i w:val="0"/>
        </w:rPr>
        <w:t>Hashin–Rosen</w:t>
      </w:r>
    </w:p>
    <w:p>
      <w:pPr>
        <w:pStyle w:val="ListBullet"/>
      </w:pPr>
      <w:r>
        <w:rPr>
          <w:b w:val="0"/>
          <w:i w:val="0"/>
        </w:rPr>
        <w:t>Self-consistent scheme</w:t>
      </w:r>
    </w:p>
    <w:p>
      <w:pPr>
        <w:pStyle w:val="ListBullet"/>
      </w:pPr>
      <w:r>
        <w:rPr>
          <w:b w:val="0"/>
          <w:i w:val="0"/>
        </w:rPr>
        <w:t>Woven fabric bridging</w:t>
      </w:r>
    </w:p>
    <w:p>
      <w:pPr>
        <w:pStyle w:val="ListBullet"/>
      </w:pPr>
      <w:r>
        <w:rPr>
          <w:b w:val="0"/>
          <w:i w:val="0"/>
        </w:rPr>
        <w:t>Cox shear-lag elastic</w:t>
      </w:r>
    </w:p>
    <w:p>
      <w:pPr/>
      <w:r>
        <w:rPr>
          <w:b w:val="0"/>
          <w:i w:val="0"/>
        </w:rPr>
        <w:t>One compatible homogenization model per Micro recipe. Use separate recipes for comparisons; they are not combined in a single ply.</w:t>
      </w:r>
    </w:p>
    <w:p>
      <w:hyperlink r:id="rId14">
        <w:r>
          <w:rPr>
            <w:color w:val="176EA4"/>
          </w:rPr>
          <w:t>∑ Theory &amp; limits</w:t>
        </w:r>
      </w:hyperlink>
      <w:r>
        <w:t xml:space="preserve"> </w:t>
      </w:r>
    </w:p>
    <w:p>
      <w:hyperlink r:id="rId15">
        <w:r>
          <w:rPr>
            <w:color w:val="176EA4"/>
          </w:rPr>
          <w:t>Exercise </w:t>
        </w:r>
      </w:hyperlink>
      <w:r>
        <w:t xml:space="preserve"> </w:t>
      </w:r>
    </w:p>
    <w:p>
      <w:pPr>
        <w:keepNext/>
      </w:pPr>
      <w:r>
        <w:rPr>
          <w:b/>
          <w:i w:val="0"/>
        </w:rPr>
        <w:t>Cure, crystallization &amp; material transport</w:t>
      </w:r>
      <w:r>
        <w:rPr>
          <w:b/>
          <w:i w:val="0"/>
        </w:rPr>
        <w:t xml:space="preserve"> </w:t>
      </w:r>
      <w:r>
        <w:rPr>
          <w:b/>
          <w:i w:val="0"/>
        </w:rPr>
        <w:t xml:space="preserve"> </w:t>
      </w:r>
      <w:r>
        <w:rPr>
          <w:b/>
          <w:i w:val="0"/>
        </w:rPr>
        <w:t xml:space="preserve">· </w:t>
      </w:r>
      <w:r>
        <w:rPr>
          <w:b/>
          <w:i w:val="0"/>
        </w:rPr>
        <w:t xml:space="preserve"> </w:t>
      </w:r>
      <w:r>
        <w:rPr>
          <w:b/>
          <w:i w:val="0"/>
        </w:rPr>
        <w:t>8</w:t>
      </w:r>
      <w:r>
        <w:rPr>
          <w:b/>
        </w:rPr>
        <w:t xml:space="preserve"> </w:t>
      </w:r>
    </w:p>
    <w:p>
      <w:r>
        <w:rPr>
          <w:b w:val="0"/>
          <w:i w:val="0"/>
        </w:rPr>
        <w:t>Input ↓</w:t>
      </w:r>
      <w:r>
        <w:t xml:space="preserve"> </w:t>
      </w:r>
      <w:r>
        <w:rPr>
          <w:b w:val="0"/>
          <w:i w:val="0"/>
        </w:rPr>
        <w:t>Calibrated kinetics, modulus or transport laws and material assignment</w:t>
      </w:r>
      <w:r>
        <w:t xml:space="preserve"> </w:t>
      </w:r>
      <w:r>
        <w:rPr>
          <w:b w:val="0"/>
          <w:i w:val="0"/>
        </w:rPr>
        <w:t>Result ↓</w:t>
      </w:r>
      <w:r>
        <w:t xml:space="preserve"> </w:t>
      </w:r>
      <w:r>
        <w:rPr>
          <w:b w:val="0"/>
          <w:i w:val="0"/>
        </w:rPr>
        <w:t>Material laws consumed by compatible Micro or transport calculations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pPr/>
      <w:r>
        <w:rPr>
          <w:b w:val="0"/>
          <w:i w:val="0"/>
        </w:rPr>
        <w:t>Independent model records can be linked together through material inputs. A saved model must be assigned to a material before it contributes to a simulation.</w:t>
      </w:r>
    </w:p>
    <w:p>
      <w:hyperlink r:id="rId16">
        <w:r>
          <w:rPr>
            <w:color w:val="176EA4"/>
          </w:rPr>
          <w:t>∑ Theory &amp; limits</w:t>
        </w:r>
      </w:hyperlink>
      <w:r>
        <w:t xml:space="preserve"> </w:t>
      </w:r>
    </w:p>
    <w:p>
      <w:hyperlink r:id="rId17">
        <w:r>
          <w:rPr>
            <w:color w:val="176EA4"/>
          </w:rPr>
          <w:t>Exercise </w:t>
        </w:r>
      </w:hyperlink>
      <w:r>
        <w:t xml:space="preserve"> </w:t>
      </w:r>
    </w:p>
    <w:p>
      <w:pPr>
        <w:keepNext/>
      </w:pPr>
      <w:r>
        <w:rPr>
          <w:b/>
          <w:i w:val="0"/>
        </w:rPr>
        <w:t>Thermal transport</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r>
        <w:rPr>
          <w:b w:val="0"/>
          <w:i w:val="0"/>
        </w:rPr>
        <w:t>Input ↓</w:t>
      </w:r>
      <w:r>
        <w:t xml:space="preserve"> </w:t>
      </w:r>
      <w:r>
        <w:rPr>
          <w:b w:val="0"/>
          <w:i w:val="0"/>
        </w:rPr>
        <w:t>Laminate transport properties, initial state and the thermal case’s own surface cycle</w:t>
      </w:r>
      <w:r>
        <w:t xml:space="preserve"> </w:t>
      </w:r>
      <w:r>
        <w:rPr>
          <w:b w:val="0"/>
          <w:i w:val="0"/>
        </w:rPr>
        <w:t>Result ↓</w:t>
      </w:r>
      <w:r>
        <w:t xml:space="preserve"> </w:t>
      </w:r>
      <w:r>
        <w:rPr>
          <w:b w:val="0"/>
          <w:i w:val="0"/>
        </w:rPr>
        <w:t>Temperature and supported polymer-state histories; mapped fields only when coupling is enabled</w:t>
      </w:r>
    </w:p>
    <w:p>
      <w:pPr>
        <w:pStyle w:val="ListBullet"/>
      </w:pPr>
      <w:r>
        <w:rPr>
          <w:b w:val="0"/>
          <w:i w:val="0"/>
        </w:rPr>
        <w:t>1D transient heat transfer</w:t>
      </w:r>
    </w:p>
    <w:p>
      <w:pPr>
        <w:pStyle w:val="ListBullet"/>
      </w:pPr>
      <w:r>
        <w:rPr>
          <w:b w:val="0"/>
          <w:i w:val="0"/>
        </w:rPr>
        <w:t>1D steady-state heat transfer</w:t>
      </w:r>
    </w:p>
    <w:p>
      <w:pPr>
        <w:pStyle w:val="ListBullet"/>
      </w:pPr>
      <w:r>
        <w:rPr>
          <w:b w:val="0"/>
          <w:i w:val="0"/>
        </w:rPr>
        <w:t>1D pultrusion thermal cure</w:t>
      </w:r>
    </w:p>
    <w:p>
      <w:pPr/>
      <w:r>
        <w:rPr>
          <w:b w:val="0"/>
          <w:i w:val="0"/>
        </w:rPr>
        <w:t>One transport formulation per thermal case. Select its laminate and configure its own initial conditions and surface cycle; pultrusion additionally requires a distance-based die schedule and pulling velocity.</w:t>
      </w:r>
    </w:p>
    <w:p>
      <w:hyperlink r:id="rId18">
        <w:r>
          <w:rPr>
            <w:color w:val="176EA4"/>
          </w:rPr>
          <w:t>∑ Theory &amp; limits</w:t>
        </w:r>
      </w:hyperlink>
      <w:r>
        <w:t xml:space="preserve"> </w:t>
      </w:r>
    </w:p>
    <w:p>
      <w:hyperlink r:id="rId19">
        <w:r>
          <w:rPr>
            <w:color w:val="176EA4"/>
          </w:rPr>
          <w:t>Exercise </w:t>
        </w:r>
      </w:hyperlink>
      <w:r>
        <w:t xml:space="preserve"> </w:t>
      </w:r>
    </w:p>
    <w:p>
      <w:pPr>
        <w:keepNext/>
      </w:pPr>
      <w:r>
        <w:rPr>
          <w:b/>
          <w:i w:val="0"/>
        </w:rPr>
        <w:t>Moisture transport</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r>
        <w:rPr>
          <w:b w:val="0"/>
          <w:i w:val="0"/>
        </w:rPr>
        <w:t>Input ↓</w:t>
      </w:r>
      <w:r>
        <w:t xml:space="preserve"> </w:t>
      </w:r>
      <w:r>
        <w:rPr>
          <w:b w:val="0"/>
          <w:i w:val="0"/>
        </w:rPr>
        <w:t>Laminate diffusion properties, initial moisture and its own boundary schedule</w:t>
      </w:r>
      <w:r>
        <w:t xml:space="preserve"> </w:t>
      </w:r>
      <w:r>
        <w:rPr>
          <w:b w:val="0"/>
          <w:i w:val="0"/>
        </w:rPr>
        <w:t>Result ↓</w:t>
      </w:r>
      <w:r>
        <w:t xml:space="preserve"> </w:t>
      </w:r>
      <w:r>
        <w:rPr>
          <w:b w:val="0"/>
          <w:i w:val="0"/>
        </w:rPr>
        <w:t>Moisture history and enabled swelling contribution</w:t>
      </w:r>
    </w:p>
    <w:p>
      <w:pPr>
        <w:pStyle w:val="ListBullet"/>
      </w:pPr>
      <w:r>
        <w:rPr>
          <w:b w:val="0"/>
          <w:i w:val="0"/>
        </w:rPr>
        <w:t>1D transient moisture diffusion</w:t>
      </w:r>
    </w:p>
    <w:p>
      <w:pPr>
        <w:pStyle w:val="ListBullet"/>
      </w:pPr>
      <w:r>
        <w:rPr>
          <w:b w:val="0"/>
          <w:i w:val="0"/>
        </w:rPr>
        <w:t>1D steady-state moisture diffusion</w:t>
      </w:r>
    </w:p>
    <w:p>
      <w:pPr/>
      <w:r>
        <w:rPr>
          <w:b w:val="0"/>
          <w:i w:val="0"/>
        </w:rPr>
        <w:t>One formulation per moisture analysis. Thermal and moisture analyses can both be linked in Simulation; each needs its own boundary conditions.</w:t>
      </w:r>
    </w:p>
    <w:p>
      <w:hyperlink r:id="rId20">
        <w:r>
          <w:rPr>
            <w:color w:val="176EA4"/>
          </w:rPr>
          <w:t>∑ Theory &amp; limits</w:t>
        </w:r>
      </w:hyperlink>
      <w:r>
        <w:t xml:space="preserve"> </w:t>
      </w:r>
    </w:p>
    <w:p>
      <w:hyperlink r:id="rId21">
        <w:r>
          <w:rPr>
            <w:color w:val="176EA4"/>
          </w:rPr>
          <w:t>Exercise </w:t>
        </w:r>
      </w:hyperlink>
      <w:r>
        <w:t xml:space="preserve"> </w:t>
      </w:r>
    </w:p>
    <w:p>
      <w:pPr>
        <w:keepNext/>
      </w:pPr>
      <w:r>
        <w:rPr>
          <w:b/>
          <w:i w:val="0"/>
        </w:rPr>
        <w:t>Plate · CLT &amp; FSDT</w:t>
      </w:r>
      <w:r>
        <w:rPr>
          <w:b/>
          <w:i w:val="0"/>
        </w:rPr>
        <w:t xml:space="preserve"> </w:t>
      </w:r>
      <w:r>
        <w:rPr>
          <w:b/>
          <w:i w:val="0"/>
        </w:rPr>
        <w:t xml:space="preserve"> </w:t>
      </w:r>
      <w:r>
        <w:rPr>
          <w:b/>
          <w:i w:val="0"/>
        </w:rPr>
        <w:t xml:space="preserve">· </w:t>
      </w:r>
      <w:r>
        <w:rPr>
          <w:b/>
          <w:i w:val="0"/>
        </w:rPr>
        <w:t xml:space="preserve"> </w:t>
      </w:r>
      <w:r>
        <w:rPr>
          <w:b/>
          <w:i w:val="0"/>
        </w:rPr>
        <w:t>6</w:t>
      </w:r>
      <w:r>
        <w:rPr>
          <w:b/>
        </w:rPr>
        <w:t xml:space="preserve"> </w:t>
      </w:r>
    </w:p>
    <w:p>
      <w:r>
        <w:rPr>
          <w:b w:val="0"/>
          <w:i w:val="0"/>
        </w:rPr>
        <w:t>Input ↓</w:t>
      </w:r>
      <w:r>
        <w:t xml:space="preserve"> </w:t>
      </w:r>
      <w:r>
        <w:rPr>
          <w:b w:val="0"/>
          <w:i w:val="0"/>
        </w:rPr>
        <w:t>Laminate stiffness, finite plate dimensions, supported edges and study choice</w:t>
      </w:r>
      <w:r>
        <w:t xml:space="preserve"> </w:t>
      </w:r>
      <w:r>
        <w:rPr>
          <w:b w:val="0"/>
          <w:i w:val="0"/>
        </w:rPr>
        <w:t>Result ↓</w:t>
      </w:r>
      <w:r>
        <w:t xml:space="preserve"> </w:t>
      </w:r>
      <w:r>
        <w:rPr>
          <w:b w:val="0"/>
          <w:i w:val="0"/>
        </w:rPr>
        <w:t>FSDT static bending or selected buckling / modal results; not progressive damage</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pPr/>
      <w:r>
        <w:rPr>
          <w:b w:val="0"/>
          <w:i w:val="0"/>
        </w:rPr>
        <w:t>Choose a formulation and study. Buckling and modal can be requested together; static bending requires FSDT. These are reference-elastic studies, separate from coupled process or progressive failure.</w:t>
      </w:r>
    </w:p>
    <w:p>
      <w:hyperlink r:id="rId22">
        <w:r>
          <w:rPr>
            <w:color w:val="176EA4"/>
          </w:rPr>
          <w:t>∑ Theory &amp; limits</w:t>
        </w:r>
      </w:hyperlink>
      <w:r>
        <w:t xml:space="preserve"> </w:t>
      </w:r>
    </w:p>
    <w:p>
      <w:hyperlink r:id="rId23">
        <w:r>
          <w:rPr>
            <w:color w:val="176EA4"/>
          </w:rPr>
          <w:t>Exercise </w:t>
        </w:r>
      </w:hyperlink>
      <w:r>
        <w:t xml:space="preserve"> </w:t>
      </w:r>
    </w:p>
    <w:p>
      <w:pPr>
        <w:keepNext/>
      </w:pPr>
      <w:r>
        <w:rPr>
          <w:b/>
          <w:i w:val="0"/>
        </w:rPr>
        <w:t>Cylinder</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r>
        <w:rPr>
          <w:b w:val="0"/>
          <w:i w:val="0"/>
        </w:rPr>
        <w:t>Input ↓</w:t>
      </w:r>
      <w:r>
        <w:t xml:space="preserve"> </w:t>
      </w:r>
      <w:r>
        <w:rPr>
          <w:b w:val="0"/>
          <w:i w:val="0"/>
        </w:rPr>
        <w:t>Laminate, cylinder dimensions and formulation-compatible pressure / axial loading</w:t>
      </w:r>
      <w:r>
        <w:t xml:space="preserve"> </w:t>
      </w:r>
      <w:r>
        <w:rPr>
          <w:b w:val="0"/>
          <w:i w:val="0"/>
        </w:rPr>
        <w:t>Result ↓</w:t>
      </w:r>
      <w:r>
        <w:t xml:space="preserve"> </w:t>
      </w:r>
      <w:r>
        <w:rPr>
          <w:b w:val="0"/>
          <w:i w:val="0"/>
        </w:rPr>
        <w:t>Thin-wall membrane response or layerwise radial fields, with distinct assumptions</w:t>
      </w:r>
    </w:p>
    <w:p>
      <w:pPr>
        <w:pStyle w:val="ListBullet"/>
      </w:pPr>
      <w:r>
        <w:rPr>
          <w:b w:val="0"/>
          <w:i w:val="0"/>
        </w:rPr>
        <w:t>Linear thin-wall membrane</w:t>
      </w:r>
    </w:p>
    <w:p>
      <w:pPr>
        <w:pStyle w:val="ListBullet"/>
      </w:pPr>
      <w:r>
        <w:rPr>
          <w:b w:val="0"/>
          <w:i w:val="0"/>
        </w:rPr>
        <w:t>Layerwise thick-wall elasticity</w:t>
      </w:r>
    </w:p>
    <w:p>
      <w:pPr/>
      <w:r>
        <w:rPr>
          <w:b w:val="0"/>
          <w:i w:val="0"/>
        </w:rPr>
        <w:t>Choose one cylinder formulation per case record. Geometry and plies remain shared; thick-wall radial results exclude torsion and process strains.</w:t>
      </w:r>
    </w:p>
    <w:p>
      <w:hyperlink r:id="rId24">
        <w:r>
          <w:rPr>
            <w:color w:val="176EA4"/>
          </w:rPr>
          <w:t>∑ Theory &amp; limits</w:t>
        </w:r>
      </w:hyperlink>
      <w:r>
        <w:t xml:space="preserve"> </w:t>
      </w:r>
    </w:p>
    <w:p>
      <w:hyperlink r:id="rId25">
        <w:r>
          <w:rPr>
            <w:color w:val="176EA4"/>
          </w:rPr>
          <w:t>Exercise </w:t>
        </w:r>
      </w:hyperlink>
      <w:r>
        <w:t xml:space="preserve"> </w:t>
      </w:r>
    </w:p>
    <w:p>
      <w:pPr>
        <w:keepNext/>
      </w:pPr>
      <w:r>
        <w:rPr>
          <w:b/>
          <w:i w:val="0"/>
        </w:rPr>
        <w:t>Membrane, bending &amp; beam buckling</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r>
        <w:rPr>
          <w:b w:val="0"/>
          <w:i w:val="0"/>
        </w:rPr>
        <w:t>Input ↓</w:t>
      </w:r>
      <w:r>
        <w:t xml:space="preserve"> </w:t>
      </w:r>
      <w:r>
        <w:rPr>
          <w:b w:val="0"/>
          <w:i w:val="0"/>
        </w:rPr>
        <w:t>Laminate, compatible section and static or Euler load case</w:t>
      </w:r>
      <w:r>
        <w:t xml:space="preserve"> </w:t>
      </w:r>
      <w:r>
        <w:rPr>
          <w:b w:val="0"/>
          <w:i w:val="0"/>
        </w:rPr>
        <w:t>Result ↓</w:t>
      </w:r>
      <w:r>
        <w:t xml:space="preserve"> </w:t>
      </w:r>
      <w:r>
        <w:rPr>
          <w:b w:val="0"/>
          <w:i w:val="0"/>
        </w:rPr>
        <w:t>Membrane / bending response or separate Euler buckling result</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pPr/>
      <w:r>
        <w:rPr>
          <w:b w:val="0"/>
          <w:i w:val="0"/>
        </w:rPr>
        <w:t>Geometry and the case determine the membrane or beam-test interpretation. Euler buckling requires a compatible beam section and a separate reference-elastic study; it is not a strength or local-buckling pass.</w:t>
      </w:r>
    </w:p>
    <w:p>
      <w:hyperlink r:id="rId26">
        <w:r>
          <w:rPr>
            <w:color w:val="176EA4"/>
          </w:rPr>
          <w:t>∑ Theory &amp; limits</w:t>
        </w:r>
      </w:hyperlink>
      <w:r>
        <w:t xml:space="preserve"> </w:t>
      </w:r>
    </w:p>
    <w:p>
      <w:hyperlink r:id="rId27">
        <w:r>
          <w:rPr>
            <w:color w:val="176EA4"/>
          </w:rPr>
          <w:t>Exercise </w:t>
        </w:r>
      </w:hyperlink>
      <w:r>
        <w:t xml:space="preserve"> </w:t>
      </w:r>
    </w:p>
    <w:p>
      <w:pPr>
        <w:keepNext/>
      </w:pPr>
      <w:r>
        <w:rPr>
          <w:b/>
          <w:i w:val="0"/>
        </w:rPr>
        <w:t>Layerwise sections, joints &amp; delamination</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r>
        <w:rPr>
          <w:b w:val="0"/>
          <w:i w:val="0"/>
        </w:rPr>
        <w:t>Input ↓</w:t>
      </w:r>
      <w:r>
        <w:t xml:space="preserve"> </w:t>
      </w:r>
      <w:r>
        <w:rPr>
          <w:b w:val="0"/>
          <w:i w:val="0"/>
        </w:rPr>
        <w:t>Section or lap geometry, laminate, loads and calibrated interface properties</w:t>
      </w:r>
      <w:r>
        <w:t xml:space="preserve"> </w:t>
      </w:r>
      <w:r>
        <w:rPr>
          <w:b w:val="0"/>
          <w:i w:val="0"/>
        </w:rPr>
        <w:t>Result ↓</w:t>
      </w:r>
      <w:r>
        <w:t xml:space="preserve"> </w:t>
      </w:r>
      <w:r>
        <w:rPr>
          <w:b w:val="0"/>
          <w:i w:val="0"/>
        </w:rPr>
        <w:t>x–z fields; coupled ply damage and delamination only for the supported layerwise plate path</w:t>
      </w:r>
    </w:p>
    <w:p>
      <w:pPr>
        <w:pStyle w:val="ListBullet"/>
      </w:pPr>
      <w:r>
        <w:rPr>
          <w:b w:val="0"/>
          <w:i w:val="0"/>
        </w:rPr>
        <w:t>Layerwise x-z plane strain</w:t>
      </w:r>
    </w:p>
    <w:p>
      <w:pPr>
        <w:pStyle w:val="ListBullet"/>
      </w:pPr>
      <w:r>
        <w:rPr>
          <w:b w:val="0"/>
          <w:i w:val="0"/>
        </w:rPr>
        <w:t>Single-lap x-z plane strain</w:t>
      </w:r>
    </w:p>
    <w:p>
      <w:pPr>
        <w:pStyle w:val="ListBullet"/>
      </w:pPr>
      <w:r>
        <w:rPr>
          <w:b w:val="0"/>
          <w:i w:val="0"/>
        </w:rPr>
        <w:t>Coupled delamination growth</w:t>
      </w:r>
    </w:p>
    <w:p>
      <w:pPr/>
      <w:r>
        <w:rPr>
          <w:b w:val="0"/>
          <w:i w:val="0"/>
        </w:rPr>
        <w:t>Coupled delamination is available only for the layerwise Plate section and needs calibrated interface and ply properties. Lap-shear uses its separate joint geometry and perfectly bonded elastic formulation.</w:t>
      </w:r>
    </w:p>
    <w:p>
      <w:hyperlink r:id="rId28">
        <w:r>
          <w:rPr>
            <w:color w:val="176EA4"/>
          </w:rPr>
          <w:t>∑ Theory &amp; limits</w:t>
        </w:r>
      </w:hyperlink>
      <w:r>
        <w:t xml:space="preserve"> </w:t>
      </w:r>
    </w:p>
    <w:p>
      <w:hyperlink r:id="rId29">
        <w:r>
          <w:rPr>
            <w:color w:val="176EA4"/>
          </w:rPr>
          <w:t>Exercise </w:t>
        </w:r>
      </w:hyperlink>
      <w:r>
        <w:t xml:space="preserve"> </w:t>
      </w:r>
    </w:p>
    <w:p>
      <w:pPr>
        <w:keepNext/>
      </w:pPr>
      <w:r>
        <w:rPr>
          <w:b/>
          <w:i w:val="0"/>
        </w:rPr>
        <w:t>Sandwich bending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Faces, core, dimensions and three-point-bend load</w:t>
      </w:r>
      <w:r>
        <w:t xml:space="preserve"> </w:t>
      </w:r>
      <w:r>
        <w:rPr>
          <w:b w:val="0"/>
          <w:i w:val="0"/>
        </w:rPr>
        <w:t>Result ↓</w:t>
      </w:r>
      <w:r>
        <w:t xml:space="preserve"> </w:t>
      </w:r>
      <w:r>
        <w:rPr>
          <w:b w:val="0"/>
          <w:i w:val="0"/>
        </w:rPr>
        <w:t>Deflection and separate face, core and nominal bond-shear screening</w:t>
      </w:r>
    </w:p>
    <w:p>
      <w:pPr>
        <w:pStyle w:val="ListBullet"/>
      </w:pPr>
      <w:r>
        <w:rPr>
          <w:b w:val="0"/>
          <w:i w:val="0"/>
        </w:rPr>
        <w:t>Sandwich three-point bend</w:t>
      </w:r>
    </w:p>
    <w:p>
      <w:pPr/>
      <w:r>
        <w:rPr>
          <w:b w:val="0"/>
          <w:i w:val="0"/>
        </w:rPr>
        <w:t>Dedicated sandwich screening. Check core, faces and nominal bond shear separately; peel, mixed-mode debonding and crack growth are not assessed.</w:t>
      </w:r>
    </w:p>
    <w:p>
      <w:hyperlink r:id="rId28">
        <w:r>
          <w:rPr>
            <w:color w:val="176EA4"/>
          </w:rPr>
          <w:t>∑ Theory &amp; limits</w:t>
        </w:r>
      </w:hyperlink>
      <w:r>
        <w:t xml:space="preserve"> </w:t>
      </w:r>
    </w:p>
    <w:p>
      <w:hyperlink r:id="rId30">
        <w:r>
          <w:rPr>
            <w:color w:val="176EA4"/>
          </w:rPr>
          <w:t>Exercise </w:t>
        </w:r>
      </w:hyperlink>
      <w:r>
        <w:t xml:space="preserve"> </w:t>
      </w:r>
    </w:p>
    <w:p>
      <w:pPr>
        <w:keepNext/>
      </w:pPr>
      <w:r>
        <w:rPr>
          <w:b/>
          <w:i w:val="0"/>
        </w:rPr>
        <w:t>Failure &amp; envelope comparison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r>
        <w:rPr>
          <w:b w:val="0"/>
          <w:i w:val="0"/>
        </w:rPr>
        <w:t>Input ↓</w:t>
      </w:r>
      <w:r>
        <w:t xml:space="preserve"> </w:t>
      </w:r>
      <w:r>
        <w:rPr>
          <w:b w:val="0"/>
          <w:i w:val="0"/>
        </w:rPr>
        <w:t>Eligible CLT load case, strengths / strain limits and selected criterion</w:t>
      </w:r>
      <w:r>
        <w:t xml:space="preserve"> </w:t>
      </w:r>
      <w:r>
        <w:rPr>
          <w:b w:val="0"/>
          <w:i w:val="0"/>
        </w:rPr>
        <w:t>Result ↓</w:t>
      </w:r>
      <w:r>
        <w:t xml:space="preserve"> </w:t>
      </w:r>
      <w:r>
        <w:rPr>
          <w:b w:val="0"/>
          <w:i w:val="0"/>
        </w:rPr>
        <w:t>First-ply envelopes or supported progressive ply-damage histories; criteria are not blended</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pPr/>
      <w:r>
        <w:rPr>
          <w:b w:val="0"/>
          <w:i w:val="0"/>
        </w:rPr>
        <w:t>One primary failure criterion per load. In Response → Failure, compare all eligible theories or a custom selection in the envelope controls. Each theory runs independently; criteria are not blended.</w:t>
      </w:r>
    </w:p>
    <w:p>
      <w:hyperlink r:id="rId31">
        <w:r>
          <w:rPr>
            <w:color w:val="176EA4"/>
          </w:rPr>
          <w:t>∑ Theory &amp; limits</w:t>
        </w:r>
      </w:hyperlink>
      <w:r>
        <w:t xml:space="preserve"> </w:t>
      </w:r>
    </w:p>
    <w:p>
      <w:hyperlink r:id="rId32">
        <w:r>
          <w:rPr>
            <w:color w:val="176EA4"/>
          </w:rPr>
          <w:t>Exercise </w:t>
        </w:r>
      </w:hyperlink>
      <w:r>
        <w:t xml:space="preserve"> </w:t>
      </w:r>
    </w:p>
    <w:p>
      <w:pPr>
        <w:keepNext/>
      </w:pPr>
      <w:r>
        <w:rPr>
          <w:b/>
          <w:i w:val="0"/>
        </w:rPr>
        <w:t>Fatigue S–N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r>
        <w:rPr>
          <w:b w:val="0"/>
          <w:i w:val="0"/>
        </w:rPr>
        <w:t>Input ↓</w:t>
      </w:r>
      <w:r>
        <w:t xml:space="preserve"> </w:t>
      </w:r>
      <w:r>
        <w:rPr>
          <w:b w:val="0"/>
          <w:i w:val="0"/>
        </w:rPr>
        <w:t>Intact ply stresses, cyclic loads and measured S–N calibration</w:t>
      </w:r>
      <w:r>
        <w:t xml:space="preserve"> </w:t>
      </w:r>
      <w:r>
        <w:rPr>
          <w:b w:val="0"/>
          <w:i w:val="0"/>
        </w:rPr>
        <w:t>Result ↓</w:t>
      </w:r>
      <w:r>
        <w:t xml:space="preserve"> </w:t>
      </w:r>
      <w:r>
        <w:rPr>
          <w:b w:val="0"/>
          <w:i w:val="0"/>
        </w:rPr>
        <w:t>Separate life assessment; no automatic laminate degradation</w:t>
      </w:r>
    </w:p>
    <w:p>
      <w:pPr>
        <w:pStyle w:val="ListBullet"/>
      </w:pPr>
      <w:r>
        <w:rPr>
          <w:b w:val="0"/>
          <w:i w:val="0"/>
        </w:rPr>
        <w:t>Kim–Zhang</w:t>
      </w:r>
    </w:p>
    <w:p>
      <w:pPr>
        <w:pStyle w:val="ListBullet"/>
      </w:pPr>
      <w:r>
        <w:rPr>
          <w:b w:val="0"/>
          <w:i w:val="0"/>
        </w:rPr>
        <w:t>Sendeckyj</w:t>
      </w:r>
    </w:p>
    <w:p>
      <w:pPr>
        <w:pStyle w:val="ListBullet"/>
      </w:pPr>
      <w:r>
        <w:rPr>
          <w:b w:val="0"/>
          <w:i w:val="0"/>
        </w:rPr>
        <w:t>Weibull S–N</w:t>
      </w:r>
    </w:p>
    <w:p>
      <w:pPr>
        <w:pStyle w:val="ListBullet"/>
      </w:pPr>
      <w:r>
        <w:rPr>
          <w:b w:val="0"/>
          <w:i w:val="0"/>
        </w:rPr>
        <w:t>Kohout–Vechet</w:t>
      </w:r>
    </w:p>
    <w:p>
      <w:pPr>
        <w:pStyle w:val="ListBullet"/>
      </w:pPr>
      <w:r>
        <w:rPr>
          <w:b w:val="0"/>
          <w:i w:val="0"/>
        </w:rPr>
        <w:t>Basquin</w:t>
      </w:r>
    </w:p>
    <w:p>
      <w:pPr/>
      <w:r>
        <w:rPr>
          <w:b w:val="0"/>
          <w:i w:val="0"/>
        </w:rPr>
        <w:t>Select calibrated S–N curves for each material, direction and stress sign in Fatigue. Different sources can use different models. S–N life does not define residual stiffness or strength.</w:t>
      </w:r>
    </w:p>
    <w:p>
      <w:hyperlink r:id="rId13">
        <w:r>
          <w:rPr>
            <w:color w:val="176EA4"/>
          </w:rPr>
          <w:t>∑ Theory &amp; limits</w:t>
        </w:r>
      </w:hyperlink>
      <w:r>
        <w:t xml:space="preserve"> </w:t>
      </w:r>
    </w:p>
    <w:p>
      <w:hyperlink r:id="rId32">
        <w:r>
          <w:rPr>
            <w:color w:val="176EA4"/>
          </w:rPr>
          <w:t>Exercise </w:t>
        </w:r>
      </w:hyperlink>
      <w:r>
        <w:t xml:space="preserve"> </w:t>
      </w:r>
    </w:p>
    <w:p>
      <w:pPr>
        <w:keepNext/>
      </w:pPr>
      <w:r>
        <w:rPr>
          <w:b/>
          <w:i w:val="0"/>
        </w:rPr>
        <w:t>D6641 · Compression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Linked laminate and explicit specimen, load or measured calibration inputs</w:t>
      </w:r>
      <w:r>
        <w:t xml:space="preserve"> </w:t>
      </w:r>
      <w:r>
        <w:rPr>
          <w:b w:val="0"/>
          <w:i w:val="0"/>
        </w:rPr>
        <w:t>Result ↓</w:t>
      </w:r>
      <w:r>
        <w:t xml:space="preserve"> </w:t>
      </w:r>
      <w:r>
        <w:rPr>
          <w:b w:val="0"/>
          <w:i w:val="0"/>
        </w:rPr>
        <w:t>Uniform small-strain compression using linked laminate Ex and thickness. Measured compressive strength supplies a screening ratio; fixture, tabs, buckling and failure evolution are not simulated.</w:t>
      </w:r>
    </w:p>
    <w:p>
      <w:pPr>
        <w:pStyle w:val="ListBullet"/>
      </w:pPr>
      <w:r>
        <w:rPr>
          <w:b w:val="0"/>
          <w:i w:val="0"/>
        </w:rPr>
        <w:t>Virtual test · compression coupon</w:t>
      </w:r>
    </w:p>
    <w:p>
      <w:pPr/>
      <w:r>
        <w:rPr>
          <w:b w:val="0"/>
          <w:i w:val="0"/>
        </w:rPr>
        <w:t>Uniform small-strain compression using linked laminate Ex and thickness. Measured compressive strength supplies a screening ratio; fixture, tabs, buckling and failure evolution are not simulated.</w:t>
      </w:r>
    </w:p>
    <w:p>
      <w:hyperlink r:id="rId33">
        <w:r>
          <w:rPr>
            <w:color w:val="176EA4"/>
          </w:rPr>
          <w:t>∑ Theory &amp; limits</w:t>
        </w:r>
      </w:hyperlink>
      <w:r>
        <w:t xml:space="preserve"> </w:t>
      </w:r>
    </w:p>
    <w:p>
      <w:hyperlink r:id="rId34">
        <w:r>
          <w:rPr>
            <w:color w:val="176EA4"/>
          </w:rPr>
          <w:t>Exercise </w:t>
        </w:r>
      </w:hyperlink>
      <w:r>
        <w:t xml:space="preserve"> </w:t>
      </w:r>
    </w:p>
    <w:p>
      <w:pPr>
        <w:keepNext/>
      </w:pPr>
      <w:r>
        <w:rPr>
          <w:b/>
          <w:i w:val="0"/>
        </w:rPr>
        <w:t>D5379 / D7078 · Shear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Linked laminate and explicit specimen, load or measured calibration inputs</w:t>
      </w:r>
      <w:r>
        <w:t xml:space="preserve"> </w:t>
      </w:r>
      <w:r>
        <w:rPr>
          <w:b w:val="0"/>
          <w:i w:val="0"/>
        </w:rPr>
        <w:t>Result ↓</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pStyle w:val="ListBullet"/>
      </w:pPr>
      <w:r>
        <w:rPr>
          <w:b w:val="0"/>
          <w:i w:val="0"/>
        </w:rPr>
        <w:t>Virtual test · nominal shear coupon</w:t>
      </w:r>
    </w:p>
    <w:p>
      <w:pPr/>
      <w:r>
        <w:rPr>
          <w:b w:val="0"/>
          <w:i w:val="0"/>
        </w:rPr>
        <w:t>Uniform nominal shear between notches using linked laminate Gxy and thickness. Not a notch/fixture stress field or nonlinear shear solution. Gauge length is the effective shear deformation length, not crosshead travel.</w:t>
      </w:r>
    </w:p>
    <w:p>
      <w:hyperlink r:id="rId35">
        <w:r>
          <w:rPr>
            <w:color w:val="176EA4"/>
          </w:rPr>
          <w:t>∑ Theory &amp; limits</w:t>
        </w:r>
      </w:hyperlink>
      <w:r>
        <w:t xml:space="preserve"> </w:t>
      </w:r>
    </w:p>
    <w:p>
      <w:hyperlink r:id="rId36">
        <w:r>
          <w:rPr>
            <w:color w:val="176EA4"/>
          </w:rPr>
          <w:t>Exercise </w:t>
        </w:r>
      </w:hyperlink>
      <w:r>
        <w:t xml:space="preserve"> </w:t>
      </w:r>
    </w:p>
    <w:p>
      <w:pPr>
        <w:keepNext/>
      </w:pPr>
      <w:r>
        <w:rPr>
          <w:b/>
          <w:i w:val="0"/>
        </w:rPr>
        <w:t>D5528 · DCB opening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Linked laminate and explicit specimen, load or measured calibration inputs</w:t>
      </w:r>
      <w:r>
        <w:t xml:space="preserve"> </w:t>
      </w:r>
      <w:r>
        <w:rPr>
          <w:b w:val="0"/>
          <w:i w:val="0"/>
        </w:rPr>
        <w:t>Result ↓</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pStyle w:val="ListBullet"/>
      </w:pPr>
      <w:r>
        <w:rPr>
          <w:b w:val="0"/>
          <w:i w:val="0"/>
        </w:rPr>
        <w:t>Virtual test · DCB beam compliance</w:t>
      </w:r>
    </w:p>
    <w:p>
      <w:pPr/>
      <w:r>
        <w:rPr>
          <w:b w:val="0"/>
          <w:i w:val="0"/>
        </w:rPr>
        <w:t>Ideal Euler–Bernoulli DCB with equal homogeneous 0° arms, each half the linked laminate thickness. No root rotation, shear, large displacement or cohesive growth. Critical load is an initiation estimate from supplied GIc.</w:t>
      </w:r>
    </w:p>
    <w:p>
      <w:hyperlink r:id="rId37">
        <w:r>
          <w:rPr>
            <w:color w:val="176EA4"/>
          </w:rPr>
          <w:t>∑ Theory &amp; limits</w:t>
        </w:r>
      </w:hyperlink>
      <w:r>
        <w:t xml:space="preserve"> </w:t>
      </w:r>
    </w:p>
    <w:p>
      <w:hyperlink r:id="rId38">
        <w:r>
          <w:rPr>
            <w:color w:val="176EA4"/>
          </w:rPr>
          <w:t>Exercise </w:t>
        </w:r>
      </w:hyperlink>
      <w:r>
        <w:t xml:space="preserve"> </w:t>
      </w:r>
    </w:p>
    <w:p>
      <w:pPr>
        <w:keepNext/>
      </w:pPr>
      <w:r>
        <w:rPr>
          <w:b/>
          <w:i w:val="0"/>
        </w:rPr>
        <w:t>D7905 · ENF sliding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Linked laminate and explicit specimen, load or measured calibration inputs</w:t>
      </w:r>
      <w:r>
        <w:t xml:space="preserve"> </w:t>
      </w:r>
      <w:r>
        <w:rPr>
          <w:b w:val="0"/>
          <w:i w:val="0"/>
        </w:rPr>
        <w:t>Result ↓</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pStyle w:val="ListBullet"/>
      </w:pPr>
      <w:r>
        <w:rPr>
          <w:b w:val="0"/>
          <w:i w:val="0"/>
        </w:rPr>
        <w:t>Virtual test · ENF beam compliance</w:t>
      </w:r>
    </w:p>
    <w:p>
      <w:pPr/>
      <w:r>
        <w:rPr>
          <w:b w:val="0"/>
          <w:i w:val="0"/>
        </w:rPr>
        <w:t>Ideal equal-arm, homogeneous 0° ENF beam; support span is twice the half-span. Crack must be shorter than the half-span. No shear/root correction or unstable crack growth. GIIc is supplied, not fitted automatically.</w:t>
      </w:r>
    </w:p>
    <w:p>
      <w:hyperlink r:id="rId39">
        <w:r>
          <w:rPr>
            <w:color w:val="176EA4"/>
          </w:rPr>
          <w:t>∑ Theory &amp; limits</w:t>
        </w:r>
      </w:hyperlink>
      <w:r>
        <w:t xml:space="preserve"> </w:t>
      </w:r>
    </w:p>
    <w:p>
      <w:hyperlink r:id="rId40">
        <w:r>
          <w:rPr>
            <w:color w:val="176EA4"/>
          </w:rPr>
          <w:t>Exercise </w:t>
        </w:r>
      </w:hyperlink>
      <w:r>
        <w:t xml:space="preserve"> </w:t>
      </w:r>
    </w:p>
    <w:p>
      <w:pPr>
        <w:keepNext/>
      </w:pPr>
      <w:r>
        <w:rPr>
          <w:b/>
          <w:i w:val="0"/>
        </w:rPr>
        <w:t>D6671 · Mixed-mode fracture envelope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Linked laminate and explicit specimen, load or measured calibration inputs</w:t>
      </w:r>
      <w:r>
        <w:t xml:space="preserve"> </w:t>
      </w:r>
      <w:r>
        <w:rPr>
          <w:b w:val="0"/>
          <w:i w:val="0"/>
        </w:rPr>
        <w:t>Result ↓</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pStyle w:val="ListBullet"/>
      </w:pPr>
      <w:r>
        <w:rPr>
          <w:b w:val="0"/>
          <w:i w:val="0"/>
        </w:rPr>
        <w:t>Virtual test · BK mixed-mode envelope</w:t>
      </w:r>
    </w:p>
    <w:p>
      <w:pPr/>
      <w:r>
        <w:rPr>
          <w:b w:val="0"/>
          <w:i w:val="0"/>
        </w:rPr>
        <w:t>Benzeggagh–Kenane envelope from calibrated GIc, GIIc and exponent. Supplied GI/GII are energy-release rates from a separate test reduction or analysis. This does not resolve the MMB lever fixture or propagate a crack.</w:t>
      </w:r>
    </w:p>
    <w:p>
      <w:hyperlink r:id="rId41">
        <w:r>
          <w:rPr>
            <w:color w:val="176EA4"/>
          </w:rPr>
          <w:t>∑ Theory &amp; limits</w:t>
        </w:r>
      </w:hyperlink>
      <w:r>
        <w:t xml:space="preserve"> </w:t>
      </w:r>
    </w:p>
    <w:p>
      <w:hyperlink r:id="rId42">
        <w:r>
          <w:rPr>
            <w:color w:val="176EA4"/>
          </w:rPr>
          <w:t>Exercise </w:t>
        </w:r>
      </w:hyperlink>
      <w:r>
        <w:t xml:space="preserve"> </w:t>
      </w:r>
    </w:p>
    <w:p>
      <w:pPr>
        <w:keepNext/>
      </w:pPr>
      <w:r>
        <w:rPr>
          <w:b/>
          <w:i w:val="0"/>
        </w:rPr>
        <w:t>D5229 · Moisture uptake calibration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Linked laminate and explicit specimen, load or measured calibration inputs</w:t>
      </w:r>
      <w:r>
        <w:t xml:space="preserve"> </w:t>
      </w:r>
      <w:r>
        <w:rPr>
          <w:b w:val="0"/>
          <w:i w:val="0"/>
        </w:rPr>
        <w:t>Result ↓</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pStyle w:val="ListBullet"/>
      </w:pPr>
      <w:r>
        <w:rPr>
          <w:b w:val="0"/>
          <w:i w:val="0"/>
        </w:rPr>
        <w:t>Virtual test · Fickian uptake calibration</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hyperlink r:id="rId43">
        <w:r>
          <w:rPr>
            <w:color w:val="176EA4"/>
          </w:rPr>
          <w:t>∑ Theory &amp; limits</w:t>
        </w:r>
      </w:hyperlink>
      <w:r>
        <w:t xml:space="preserve"> </w:t>
      </w:r>
    </w:p>
    <w:p>
      <w:hyperlink r:id="rId44">
        <w:r>
          <w:rPr>
            <w:color w:val="176EA4"/>
          </w:rPr>
          <w:t>Exercise </w:t>
        </w:r>
      </w:hyperlink>
      <w:r>
        <w:t xml:space="preserve"> </w:t>
      </w:r>
    </w:p>
    <w:p>
      <w:pPr>
        <w:keepNext/>
      </w:pPr>
      <w:r>
        <w:rPr>
          <w:b/>
          <w:i w:val="0"/>
        </w:rPr>
        <w:t>D5961 · Bearing / bypass screening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Linked laminate and explicit specimen, load or measured calibration inputs</w:t>
      </w:r>
      <w:r>
        <w:t xml:space="preserve"> </w:t>
      </w:r>
      <w:r>
        <w:rPr>
          <w:b w:val="0"/>
          <w:i w:val="0"/>
        </w:rPr>
        <w:t>Result ↓</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pStyle w:val="ListBullet"/>
      </w:pPr>
      <w:r>
        <w:rPr>
          <w:b w:val="0"/>
          <w:i w:val="0"/>
        </w:rPr>
        <w:t>Virtual test · bearing bypass screening</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hyperlink r:id="rId45">
        <w:r>
          <w:rPr>
            <w:color w:val="176EA4"/>
          </w:rPr>
          <w:t>∑ Theory &amp; limits</w:t>
        </w:r>
      </w:hyperlink>
      <w:r>
        <w:t xml:space="preserve"> </w:t>
      </w:r>
    </w:p>
    <w:p>
      <w:hyperlink r:id="rId46">
        <w:r>
          <w:rPr>
            <w:color w:val="176EA4"/>
          </w:rPr>
          <w:t>Exercise </w:t>
        </w:r>
      </w:hyperlink>
      <w:r>
        <w:t xml:space="preserve"> </w:t>
      </w:r>
    </w:p>
    <w:p>
      <w:pPr>
        <w:keepNext/>
      </w:pPr>
      <w:r>
        <w:rPr>
          <w:b/>
          <w:i w:val="0"/>
        </w:rPr>
        <w:t>D6484 · Open-hole compression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Linked laminate and explicit specimen, load or measured calibration inputs</w:t>
      </w:r>
      <w:r>
        <w:t xml:space="preserve"> </w:t>
      </w:r>
      <w:r>
        <w:rPr>
          <w:b w:val="0"/>
          <w:i w:val="0"/>
        </w:rPr>
        <w:t>Result ↓</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pStyle w:val="ListBullet"/>
      </w:pPr>
      <w:r>
        <w:rPr>
          <w:b w:val="0"/>
          <w:i w:val="0"/>
        </w:rPr>
        <w:t>Virtual test · measured open-hole compression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hyperlink r:id="rId47">
        <w:r>
          <w:rPr>
            <w:color w:val="176EA4"/>
          </w:rPr>
          <w:t>∑ Theory &amp; limits</w:t>
        </w:r>
      </w:hyperlink>
      <w:r>
        <w:t xml:space="preserve"> </w:t>
      </w:r>
    </w:p>
    <w:p>
      <w:hyperlink r:id="rId48">
        <w:r>
          <w:rPr>
            <w:color w:val="176EA4"/>
          </w:rPr>
          <w:t>Exercise </w:t>
        </w:r>
      </w:hyperlink>
      <w:r>
        <w:t xml:space="preserve"> </w:t>
      </w:r>
    </w:p>
    <w:p>
      <w:pPr>
        <w:keepNext/>
      </w:pPr>
      <w:r>
        <w:rPr>
          <w:b/>
          <w:i w:val="0"/>
        </w:rPr>
        <w:t>D6742 · Filled-hole comparison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Linked laminate and explicit specimen, load or measured calibration inputs</w:t>
      </w:r>
      <w:r>
        <w:t xml:space="preserve"> </w:t>
      </w:r>
      <w:r>
        <w:rPr>
          <w:b w:val="0"/>
          <w:i w:val="0"/>
        </w:rPr>
        <w:t>Result ↓</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pStyle w:val="ListBullet"/>
      </w:pPr>
      <w:r>
        <w:rPr>
          <w:b w:val="0"/>
          <w:i w:val="0"/>
        </w:rPr>
        <w:t>Virtual test · measured filled-hole comparison</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hyperlink r:id="rId49">
        <w:r>
          <w:rPr>
            <w:color w:val="176EA4"/>
          </w:rPr>
          <w:t>∑ Theory &amp; limits</w:t>
        </w:r>
      </w:hyperlink>
      <w:r>
        <w:t xml:space="preserve"> </w:t>
      </w:r>
    </w:p>
    <w:p>
      <w:hyperlink r:id="rId50">
        <w:r>
          <w:rPr>
            <w:color w:val="176EA4"/>
          </w:rPr>
          <w:t>Exercise </w:t>
        </w:r>
      </w:hyperlink>
      <w:r>
        <w:t xml:space="preserve"> </w:t>
      </w:r>
    </w:p>
    <w:p>
      <w:pPr>
        <w:keepNext/>
      </w:pPr>
      <w:r>
        <w:rPr>
          <w:b/>
          <w:i w:val="0"/>
        </w:rPr>
        <w:t>D7136 / D7137 · Impact &amp; CAI assessment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Linked laminate and explicit specimen, load or measured calibration inputs</w:t>
      </w:r>
      <w:r>
        <w:t xml:space="preserve"> </w:t>
      </w:r>
      <w:r>
        <w:rPr>
          <w:b w:val="0"/>
          <w:i w:val="0"/>
        </w:rPr>
        <w:t>Result ↓</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pStyle w:val="ListBullet"/>
      </w:pPr>
      <w:r>
        <w:rPr>
          <w:b w:val="0"/>
          <w:i w:val="0"/>
        </w:rPr>
        <w:t>Virtual test · measured impact and CAI</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hyperlink r:id="rId51">
        <w:r>
          <w:rPr>
            <w:color w:val="176EA4"/>
          </w:rPr>
          <w:t>∑ Theory &amp; limits</w:t>
        </w:r>
      </w:hyperlink>
      <w:r>
        <w:t xml:space="preserve"> </w:t>
      </w:r>
    </w:p>
    <w:p>
      <w:hyperlink r:id="rId52">
        <w:r>
          <w:rPr>
            <w:color w:val="176EA4"/>
          </w:rPr>
          <w:t>Exercise </w:t>
        </w:r>
      </w:hyperlink>
      <w:r>
        <w:t xml:space="preserve"> </w:t>
      </w:r>
    </w:p>
    <w:p>
      <w:pPr>
        <w:keepNext/>
      </w:pPr>
      <w:r>
        <w:rPr>
          <w:b/>
          <w:i w:val="0"/>
        </w:rPr>
        <w:t>Open-hole strength</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Specially orthotropic laminate, hole radius, unnotched strength and calibrated distances</w:t>
      </w:r>
      <w:r>
        <w:t xml:space="preserve"> </w:t>
      </w:r>
      <w:r>
        <w:rPr>
          <w:b w:val="0"/>
          <w:i w:val="0"/>
        </w:rPr>
        <w:t>Result ↓</w:t>
      </w:r>
      <w:r>
        <w:t xml:space="preserve"> </w:t>
      </w:r>
      <w:r>
        <w:rPr>
          <w:b w:val="0"/>
          <w:i w:val="0"/>
        </w:rPr>
        <w:t>Point / average stress strength screening and radial stress profile</w:t>
      </w:r>
    </w:p>
    <w:p>
      <w:pPr>
        <w:pStyle w:val="ListBullet"/>
      </w:pPr>
      <w:r>
        <w:rPr>
          <w:b w:val="0"/>
          <w:i w:val="0"/>
        </w:rPr>
        <w:t>Whitney–Nuismer open-hole tension</w:t>
      </w:r>
    </w:p>
    <w:p>
      <w:pPr/>
      <w:r>
        <w:rPr>
          <w:b w:val="0"/>
          <w:i w:val="0"/>
        </w:rPr>
        <w:t>Infinite-width, specially orthotropic tension screening. Point and average stress distances must be calibrated independently for this laminate. Not compression, bearing or a joint allowable.</w:t>
      </w:r>
    </w:p>
    <w:p>
      <w:hyperlink r:id="rId53">
        <w:r>
          <w:rPr>
            <w:color w:val="176EA4"/>
          </w:rPr>
          <w:t>∑ Theory &amp; limits</w:t>
        </w:r>
      </w:hyperlink>
      <w:r>
        <w:t xml:space="preserve"> </w:t>
      </w:r>
    </w:p>
    <w:p>
      <w:hyperlink r:id="rId54">
        <w:r>
          <w:rPr>
            <w:color w:val="176EA4"/>
          </w:rPr>
          <w:t>Exercise </w:t>
        </w:r>
      </w:hyperlink>
      <w:r>
        <w:t xml:space="preserve"> </w:t>
      </w:r>
    </w:p>
    <w:p>
      <w:pPr>
        <w:keepNext/>
      </w:pPr>
      <w:r>
        <w:rPr>
          <w:b/>
          <w:i w:val="0"/>
        </w:rPr>
        <w:t>Creep &amp; stress relaxation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Laminate Ex, Prony fractions / times and held stress or strain at calibration temperature</w:t>
      </w:r>
      <w:r>
        <w:t xml:space="preserve"> </w:t>
      </w:r>
      <w:r>
        <w:rPr>
          <w:b w:val="0"/>
          <w:i w:val="0"/>
        </w:rPr>
        <w:t>Result ↓</w:t>
      </w:r>
      <w:r>
        <w:t xml:space="preserve"> </w:t>
      </w:r>
      <w:r>
        <w:rPr>
          <w:b w:val="0"/>
          <w:i w:val="0"/>
        </w:rPr>
        <w:t>Separate axial creep and relaxation curves with time-refinement safeguards</w:t>
      </w:r>
    </w:p>
    <w:p>
      <w:pPr>
        <w:pStyle w:val="ListBullet"/>
      </w:pPr>
      <w:r>
        <w:rPr>
          <w:b w:val="0"/>
          <w:i w:val="0"/>
        </w:rPr>
        <w:t>Generalized Maxwell · axial Prony</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hyperlink r:id="rId55">
        <w:r>
          <w:rPr>
            <w:color w:val="176EA4"/>
          </w:rPr>
          <w:t>∑ Theory &amp; limits</w:t>
        </w:r>
      </w:hyperlink>
      <w:r>
        <w:t xml:space="preserve"> </w:t>
      </w:r>
    </w:p>
    <w:p>
      <w:hyperlink r:id="rId56">
        <w:r>
          <w:rPr>
            <w:color w:val="176EA4"/>
          </w:rPr>
          <w:t>Exercise </w:t>
        </w:r>
      </w:hyperlink>
      <w:r>
        <w:t xml:space="preserve"> </w:t>
      </w:r>
    </w:p>
    <w:p>
      <w:pPr>
        <w:keepNext/>
      </w:pPr>
      <w:r>
        <w:rPr>
          <w:b/>
          <w:i w:val="0"/>
        </w:rPr>
        <w:t>Analytical bonded joint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Identical equivalent-elastic adherends, adhesive, overlap, width and tensile force</w:t>
      </w:r>
      <w:r>
        <w:t xml:space="preserve"> </w:t>
      </w:r>
      <w:r>
        <w:rPr>
          <w:b w:val="0"/>
          <w:i w:val="0"/>
        </w:rPr>
        <w:t>Result ↓</w:t>
      </w:r>
      <w:r>
        <w:t xml:space="preserve"> </w:t>
      </w:r>
      <w:r>
        <w:rPr>
          <w:b w:val="0"/>
          <w:i w:val="0"/>
        </w:rPr>
        <w:t>Volkersen shear and Goland–Reissner shear / peel; no debond growth</w:t>
      </w:r>
    </w:p>
    <w:p>
      <w:pPr>
        <w:pStyle w:val="ListBullet"/>
      </w:pPr>
      <w:r>
        <w:rPr>
          <w:b w:val="0"/>
          <w:i w:val="0"/>
        </w:rPr>
        <w:t>Volkersen &amp; Goland–Reissner joint</w:t>
      </w:r>
    </w:p>
    <w:p>
      <w:pPr/>
      <w:r>
        <w:rPr>
          <w:b w:val="0"/>
          <w:i w:val="0"/>
        </w:rPr>
        <w:t>Identical equivalent-elastic adherends, long free arms and a thin elastic adhesive. Compare shear-only Volkersen with eccentric single-lap shear and peel. Not a debonding, plasticity or strength calculation.</w:t>
      </w:r>
    </w:p>
    <w:p>
      <w:hyperlink r:id="rId57">
        <w:r>
          <w:rPr>
            <w:color w:val="176EA4"/>
          </w:rPr>
          <w:t>∑ Theory &amp; limits</w:t>
        </w:r>
      </w:hyperlink>
      <w:r>
        <w:t xml:space="preserve"> </w:t>
      </w:r>
    </w:p>
    <w:p>
      <w:hyperlink r:id="rId58">
        <w:r>
          <w:rPr>
            <w:color w:val="176EA4"/>
          </w:rPr>
          <w:t>Exercise </w:t>
        </w:r>
      </w:hyperlink>
      <w:r>
        <w:t xml:space="preserve"> </w:t>
      </w:r>
    </w:p>
    <w:p>
      <w:pPr>
        <w:keepNext/>
      </w:pPr>
      <w:r>
        <w:rPr>
          <w:b/>
          <w:i w:val="0"/>
        </w:rPr>
        <w:t>LaRC04 failure initiation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Laminate, membrane / bending resultants and calibrated effective ply strengths</w:t>
      </w:r>
      <w:r>
        <w:t xml:space="preserve"> </w:t>
      </w:r>
      <w:r>
        <w:rPr>
          <w:b w:val="0"/>
          <w:i w:val="0"/>
        </w:rPr>
        <w:t>Result ↓</w:t>
      </w:r>
      <w:r>
        <w:t xml:space="preserve"> </w:t>
      </w:r>
      <w:r>
        <w:rPr>
          <w:b w:val="0"/>
          <w:i w:val="0"/>
        </w:rPr>
        <w:t>Linear-shear LaRC04 initiation indices at ply faces; no progressive degradation</w:t>
      </w:r>
    </w:p>
    <w:p>
      <w:pPr>
        <w:pStyle w:val="ListBullet"/>
      </w:pPr>
      <w:r>
        <w:rPr>
          <w:b w:val="0"/>
          <w:i w:val="0"/>
        </w:rPr>
        <w:t>LaRC04 · linear shear</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hyperlink r:id="rId59">
        <w:r>
          <w:rPr>
            <w:color w:val="176EA4"/>
          </w:rPr>
          <w:t>∑ Theory &amp; limits</w:t>
        </w:r>
      </w:hyperlink>
      <w:r>
        <w:t xml:space="preserve"> </w:t>
      </w:r>
    </w:p>
    <w:p>
      <w:hyperlink r:id="rId60">
        <w:r>
          <w:rPr>
            <w:color w:val="176EA4"/>
          </w:rPr>
          <w:t>Exercise </w:t>
        </w:r>
      </w:hyperlink>
      <w:r>
        <w:t xml:space="preserve"> </w:t>
      </w:r>
    </w:p>
    <w:p>
      <w:pPr>
        <w:keepNext/>
      </w:pPr>
      <w:r>
        <w:rPr>
          <w:b/>
          <w:i w:val="0"/>
        </w:rPr>
        <w:t>Tool-release shape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Laminate and prescribed temperatures, CTE and effective post-gel shrinkage</w:t>
      </w:r>
      <w:r>
        <w:t xml:space="preserve"> </w:t>
      </w:r>
      <w:r>
        <w:rPr>
          <w:b w:val="0"/>
          <w:i w:val="0"/>
        </w:rPr>
        <w:t>Result ↓</w:t>
      </w:r>
      <w:r>
        <w:t xml:space="preserve"> </w:t>
      </w:r>
      <w:r>
        <w:rPr>
          <w:b w:val="0"/>
          <w:i w:val="0"/>
        </w:rPr>
        <w:t>Free-release CLT curvature and separate corner spring-in estimate; not an automatic process-history handoff</w:t>
      </w:r>
    </w:p>
    <w:p>
      <w:pPr>
        <w:pStyle w:val="ListBullet"/>
      </w:pPr>
      <w:r>
        <w:rPr>
          <w:b w:val="0"/>
          <w:i w:val="0"/>
        </w:rPr>
        <w:t>Free-release eigenstrain &amp; spring-in</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hyperlink r:id="rId61">
        <w:r>
          <w:rPr>
            <w:color w:val="176EA4"/>
          </w:rPr>
          <w:t>∑ Theory &amp; limits</w:t>
        </w:r>
      </w:hyperlink>
      <w:r>
        <w:t xml:space="preserve"> </w:t>
      </w:r>
    </w:p>
    <w:p>
      <w:hyperlink r:id="rId62">
        <w:r>
          <w:rPr>
            <w:color w:val="176EA4"/>
          </w:rPr>
          <w:t>Exercise </w:t>
        </w:r>
      </w:hyperlink>
      <w:r>
        <w:t xml:space="preserve"> </w:t>
      </w:r>
    </w:p>
    <w:p>
      <w:pPr>
        <w:keepNext/>
      </w:pPr>
      <w:r>
        <w:rPr>
          <w:b/>
          <w:i w:val="0"/>
        </w:rPr>
        <w:t>Fatigue residual properties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Modulus, independently fitted stiffness / strength retention laws, life and elapsed cycles</w:t>
      </w:r>
      <w:r>
        <w:t xml:space="preserve"> </w:t>
      </w:r>
      <w:r>
        <w:rPr>
          <w:b w:val="0"/>
          <w:i w:val="0"/>
        </w:rPr>
        <w:t>Result ↓</w:t>
      </w:r>
      <w:r>
        <w:t xml:space="preserve"> </w:t>
      </w:r>
      <w:r>
        <w:rPr>
          <w:b w:val="0"/>
          <w:i w:val="0"/>
        </w:rPr>
        <w:t>Residual-property curves for the specified constant-amplitude calibration; saved laminate is unchanged</w:t>
      </w:r>
    </w:p>
    <w:p>
      <w:pPr>
        <w:pStyle w:val="ListBullet"/>
      </w:pPr>
      <w:r>
        <w:rPr>
          <w:b w:val="0"/>
          <w:i w:val="0"/>
        </w:rPr>
        <w:t>Calibrated residual-property fatigue</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hyperlink r:id="rId63">
        <w:r>
          <w:rPr>
            <w:color w:val="176EA4"/>
          </w:rPr>
          <w:t>∑ Theory &amp; limits</w:t>
        </w:r>
      </w:hyperlink>
      <w:r>
        <w:t xml:space="preserve"> </w:t>
      </w:r>
    </w:p>
    <w:p>
      <w:hyperlink r:id="rId64">
        <w:r>
          <w:rPr>
            <w:color w:val="176EA4"/>
          </w:rPr>
          <w:t>Exercise </w:t>
        </w:r>
      </w:hyperlink>
      <w:r>
        <w:t xml:space="preserve"> </w:t>
      </w:r>
    </w:p>
    <w:p>
      <w:pPr>
        <w:keepNext/>
      </w:pPr>
      <w:r>
        <w:rPr>
          <w:b/>
          <w:i w:val="0"/>
        </w:rPr>
        <w:t>Cylinder buckling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Thin specially orthotropic shell, radius, length, axial compression and prescribed knockdown</w:t>
      </w:r>
      <w:r>
        <w:t xml:space="preserve"> </w:t>
      </w:r>
      <w:r>
        <w:rPr>
          <w:b w:val="0"/>
          <w:i w:val="0"/>
        </w:rPr>
        <w:t>Result ↓</w:t>
      </w:r>
      <w:r>
        <w:t xml:space="preserve"> </w:t>
      </w:r>
      <w:r>
        <w:rPr>
          <w:b w:val="0"/>
          <w:i w:val="0"/>
        </w:rPr>
        <w:t>Ideal / knocked-down Donnell axial buckling and governing mode; no pressure or postbuckling</w:t>
      </w:r>
    </w:p>
    <w:p>
      <w:pPr>
        <w:pStyle w:val="ListBullet"/>
      </w:pPr>
      <w:r>
        <w:rPr>
          <w:b w:val="0"/>
          <w:i w:val="0"/>
        </w:rPr>
        <w:t>Donnell cylinder · axial 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hyperlink r:id="rId65">
        <w:r>
          <w:rPr>
            <w:color w:val="176EA4"/>
          </w:rPr>
          <w:t>∑ Theory &amp; limits</w:t>
        </w:r>
      </w:hyperlink>
      <w:r>
        <w:t xml:space="preserve"> </w:t>
      </w:r>
    </w:p>
    <w:p>
      <w:hyperlink r:id="rId66">
        <w:r>
          <w:rPr>
            <w:color w:val="176EA4"/>
          </w:rPr>
          <w:t>Exercise </w:t>
        </w:r>
      </w:hyperlink>
      <w:r>
        <w:t xml:space="preserve"> </w:t>
      </w:r>
    </w:p>
    <w:p>
      <w:pPr>
        <w:keepNext/>
      </w:pPr>
      <w:r>
        <w:rPr>
          <w:b/>
          <w:i w:val="0"/>
        </w:rPr>
        <w:t>Uncertainty &amp; sensitivity</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Laminate, bounded modulus / thickness / angle variations, seed and axial load</w:t>
      </w:r>
      <w:r>
        <w:t xml:space="preserve"> </w:t>
      </w:r>
      <w:r>
        <w:rPr>
          <w:b w:val="0"/>
          <w:i w:val="0"/>
        </w:rPr>
        <w:t>Result ↓</w:t>
      </w:r>
      <w:r>
        <w:t xml:space="preserve"> </w:t>
      </w:r>
      <w:r>
        <w:rPr>
          <w:b w:val="0"/>
          <w:i w:val="0"/>
        </w:rPr>
        <w:t>ABD axial-strain percentiles and signed correlations; not certified reliability</w:t>
      </w:r>
    </w:p>
    <w:p>
      <w:pPr>
        <w:pStyle w:val="ListBullet"/>
      </w:pPr>
      <w:r>
        <w:rPr>
          <w:b w:val="0"/>
          <w:i w:val="0"/>
        </w:rPr>
        <w:t>Seeded laminate uncertainty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hyperlink r:id="rId67">
        <w:r>
          <w:rPr>
            <w:color w:val="176EA4"/>
          </w:rPr>
          <w:t>∑ Theory &amp; limits</w:t>
        </w:r>
      </w:hyperlink>
      <w:r>
        <w:t xml:space="preserve"> </w:t>
      </w:r>
    </w:p>
    <w:p>
      <w:hyperlink r:id="rId68">
        <w:r>
          <w:rPr>
            <w:color w:val="176EA4"/>
          </w:rPr>
          <w:t>Exercise </w:t>
        </w:r>
      </w:hyperlink>
      <w:r>
        <w:t xml:space="preserve"> </w:t>
      </w:r>
    </w:p>
    <w:p>
      <w:pPr>
        <w:keepNext/>
      </w:pPr>
      <w:r>
        <w:rPr>
          <w:b/>
          <w:i w:val="0"/>
        </w:rPr>
        <w:t>Wiener series and parallel</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host/inclusion electrical properties and fractions</w:t>
      </w:r>
      <w:r>
        <w:t xml:space="preserve"> </w:t>
      </w:r>
      <w:r>
        <w:rPr>
          <w:b w:val="0"/>
          <w:i w:val="0"/>
        </w:rPr>
        <w:t>Result ↓</w:t>
      </w:r>
      <w:r>
        <w:t xml:space="preserve"> </w:t>
      </w:r>
      <w:r>
        <w:rPr>
          <w:b w:val="0"/>
          <w:i w:val="0"/>
        </w:rPr>
        <w:t>Effective permittivity; manual handoff to an RF layer, not an automatic mechanical-property update</w:t>
      </w:r>
    </w:p>
    <w:p>
      <w:pPr>
        <w:pStyle w:val="ListBullet"/>
      </w:pPr>
      <w:r>
        <w:rPr>
          <w:b w:val="0"/>
          <w:i w:val="0"/>
        </w:rPr>
        <w:t>EM · Wiener series and parallel</w:t>
      </w:r>
    </w:p>
    <w:p>
      <w:pPr/>
      <w:r>
        <w:rPr>
          <w:b w:val="0"/>
          <w:i w:val="0"/>
        </w:rPr>
        <w:t>Positive lossless dielectric bounds; complex directional estimates.</w:t>
      </w:r>
    </w:p>
    <w:p>
      <w:hyperlink r:id="rId69">
        <w:r>
          <w:rPr>
            <w:color w:val="176EA4"/>
          </w:rPr>
          <w:t>∑ Theory &amp; limits</w:t>
        </w:r>
      </w:hyperlink>
      <w:r>
        <w:t xml:space="preserve"> </w:t>
      </w:r>
    </w:p>
    <w:p>
      <w:hyperlink r:id="rId70">
        <w:r>
          <w:rPr>
            <w:color w:val="176EA4"/>
          </w:rPr>
          <w:t>Exercise </w:t>
        </w:r>
      </w:hyperlink>
      <w:r>
        <w:t xml:space="preserve"> </w:t>
      </w:r>
    </w:p>
    <w:p>
      <w:pPr>
        <w:keepNext/>
      </w:pPr>
      <w:r>
        <w:rPr>
          <w:b/>
          <w:i w:val="0"/>
        </w:rPr>
        <w:t>Looyenga / Landau–Lifshitz–Looyenga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host/inclusion electrical properties and fractions</w:t>
      </w:r>
      <w:r>
        <w:t xml:space="preserve"> </w:t>
      </w:r>
      <w:r>
        <w:rPr>
          <w:b w:val="0"/>
          <w:i w:val="0"/>
        </w:rPr>
        <w:t>Result ↓</w:t>
      </w:r>
      <w:r>
        <w:t xml:space="preserve"> </w:t>
      </w:r>
      <w:r>
        <w:rPr>
          <w:b w:val="0"/>
          <w:i w:val="0"/>
        </w:rPr>
        <w:t>Effective permittivity; manual handoff to an RF layer, not an automatic mechanical-property update</w:t>
      </w:r>
    </w:p>
    <w:p>
      <w:pPr>
        <w:pStyle w:val="ListBullet"/>
      </w:pPr>
      <w:r>
        <w:rPr>
          <w:b w:val="0"/>
          <w:i w:val="0"/>
        </w:rPr>
        <w:t>EM · Looyenga / Landau–Lifshitz–Looyenga</w:t>
      </w:r>
    </w:p>
    <w:p>
      <w:pPr/>
      <w:r>
        <w:rPr>
          <w:b w:val="0"/>
          <w:i w:val="0"/>
        </w:rPr>
        <w:t>One cube-root mixing law, not two independent models.</w:t>
      </w:r>
    </w:p>
    <w:p>
      <w:hyperlink r:id="rId71">
        <w:r>
          <w:rPr>
            <w:color w:val="176EA4"/>
          </w:rPr>
          <w:t>∑ Theory &amp; limits</w:t>
        </w:r>
      </w:hyperlink>
      <w:r>
        <w:t xml:space="preserve"> </w:t>
      </w:r>
    </w:p>
    <w:p>
      <w:hyperlink r:id="rId72">
        <w:r>
          <w:rPr>
            <w:color w:val="176EA4"/>
          </w:rPr>
          <w:t>Exercise </w:t>
        </w:r>
      </w:hyperlink>
      <w:r>
        <w:t xml:space="preserve"> </w:t>
      </w:r>
    </w:p>
    <w:p>
      <w:pPr>
        <w:keepNext/>
      </w:pPr>
      <w:r>
        <w:rPr>
          <w:b/>
          <w:i w:val="0"/>
        </w:rPr>
        <w:t>Maxwell–Garnett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host/inclusion electrical properties and fractions</w:t>
      </w:r>
      <w:r>
        <w:t xml:space="preserve"> </w:t>
      </w:r>
      <w:r>
        <w:rPr>
          <w:b w:val="0"/>
          <w:i w:val="0"/>
        </w:rPr>
        <w:t>Result ↓</w:t>
      </w:r>
      <w:r>
        <w:t xml:space="preserve"> </w:t>
      </w:r>
      <w:r>
        <w:rPr>
          <w:b w:val="0"/>
          <w:i w:val="0"/>
        </w:rPr>
        <w:t>Effective permittivity; manual handoff to an RF layer, not an automatic mechanical-property update</w:t>
      </w:r>
    </w:p>
    <w:p>
      <w:pPr>
        <w:pStyle w:val="ListBullet"/>
      </w:pPr>
      <w:r>
        <w:rPr>
          <w:b w:val="0"/>
          <w:i w:val="0"/>
        </w:rPr>
        <w:t>EM · Maxwell–Garnett</w:t>
      </w:r>
    </w:p>
    <w:p>
      <w:pPr/>
      <w:r>
        <w:rPr>
          <w:b w:val="0"/>
          <w:i w:val="0"/>
        </w:rPr>
        <w:t>Dilute subwavelength spherical inclusions in a host.</w:t>
      </w:r>
    </w:p>
    <w:p>
      <w:hyperlink r:id="rId73">
        <w:r>
          <w:rPr>
            <w:color w:val="176EA4"/>
          </w:rPr>
          <w:t>∑ Theory &amp; limits</w:t>
        </w:r>
      </w:hyperlink>
      <w:r>
        <w:t xml:space="preserve"> </w:t>
      </w:r>
    </w:p>
    <w:p>
      <w:hyperlink r:id="rId74">
        <w:r>
          <w:rPr>
            <w:color w:val="176EA4"/>
          </w:rPr>
          <w:t>Exercise </w:t>
        </w:r>
      </w:hyperlink>
      <w:r>
        <w:t xml:space="preserve"> </w:t>
      </w:r>
    </w:p>
    <w:p>
      <w:pPr>
        <w:keepNext/>
      </w:pPr>
      <w:r>
        <w:rPr>
          <w:b/>
          <w:i w:val="0"/>
        </w:rPr>
        <w:t>Normal-incidence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dielectric A/B layers, thicknesses, repetition, frequency and supported polarization</w:t>
      </w:r>
      <w:r>
        <w:t xml:space="preserve"> </w:t>
      </w:r>
      <w:r>
        <w:rPr>
          <w:b w:val="0"/>
          <w:i w:val="0"/>
        </w:rPr>
        <w:t>Result ↓</w:t>
      </w:r>
      <w:r>
        <w:t xml:space="preserve"> </w:t>
      </w:r>
      <w:r>
        <w:rPr>
          <w:b w:val="0"/>
          <w:i w:val="0"/>
        </w:rPr>
        <w:t>Reflection, transmission, absorption and shielding spectra; no mechanical coupling</w:t>
      </w:r>
    </w:p>
    <w:p>
      <w:pPr>
        <w:pStyle w:val="ListBullet"/>
      </w:pPr>
      <w:r>
        <w:rPr>
          <w:b w:val="0"/>
          <w:i w:val="0"/>
        </w:rPr>
        <w:t>EM · Normal-incidence laminate TMM</w:t>
      </w:r>
    </w:p>
    <w:p>
      <w:pPr/>
      <w:r>
        <w:rPr>
          <w:b w:val="0"/>
          <w:i w:val="0"/>
        </w:rPr>
        <w:t>Coherent isotropic nonmagnetic layers between air half-spaces.</w:t>
      </w:r>
    </w:p>
    <w:p>
      <w:hyperlink r:id="rId75">
        <w:r>
          <w:rPr>
            <w:color w:val="176EA4"/>
          </w:rPr>
          <w:t>∑ Theory &amp; limits</w:t>
        </w:r>
      </w:hyperlink>
      <w:r>
        <w:t xml:space="preserve"> </w:t>
      </w:r>
    </w:p>
    <w:p>
      <w:hyperlink r:id="rId76">
        <w:r>
          <w:rPr>
            <w:color w:val="176EA4"/>
          </w:rPr>
          <w:t>Exercise </w:t>
        </w:r>
      </w:hyperlink>
      <w:r>
        <w:t xml:space="preserve"> </w:t>
      </w:r>
    </w:p>
    <w:p>
      <w:pPr>
        <w:keepNext/>
      </w:pPr>
      <w:r>
        <w:rPr>
          <w:b/>
          <w:i w:val="0"/>
        </w:rPr>
        <w:t>Bruggeman symmetric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host/inclusion electrical properties and fractions</w:t>
      </w:r>
      <w:r>
        <w:t xml:space="preserve"> </w:t>
      </w:r>
      <w:r>
        <w:rPr>
          <w:b w:val="0"/>
          <w:i w:val="0"/>
        </w:rPr>
        <w:t>Result ↓</w:t>
      </w:r>
      <w:r>
        <w:t xml:space="preserve"> </w:t>
      </w:r>
      <w:r>
        <w:rPr>
          <w:b w:val="0"/>
          <w:i w:val="0"/>
        </w:rPr>
        <w:t>Effective permittivity; manual handoff to an RF layer, not an automatic mechanical-property update</w:t>
      </w:r>
    </w:p>
    <w:p>
      <w:pPr>
        <w:pStyle w:val="ListBullet"/>
      </w:pPr>
      <w:r>
        <w:rPr>
          <w:b w:val="0"/>
          <w:i w:val="0"/>
        </w:rPr>
        <w:t>EM · Bruggeman symmetric EMT</w:t>
      </w:r>
    </w:p>
    <w:p>
      <w:pPr/>
      <w:r>
        <w:rPr>
          <w:b w:val="0"/>
          <w:i w:val="0"/>
        </w:rPr>
        <w:t>Two positive-permittivity phases; no explicit contact network.</w:t>
      </w:r>
    </w:p>
    <w:p>
      <w:hyperlink r:id="rId77">
        <w:r>
          <w:rPr>
            <w:color w:val="176EA4"/>
          </w:rPr>
          <w:t>∑ Theory &amp; limits</w:t>
        </w:r>
      </w:hyperlink>
      <w:r>
        <w:t xml:space="preserve"> </w:t>
      </w:r>
    </w:p>
    <w:p>
      <w:hyperlink r:id="rId78">
        <w:r>
          <w:rPr>
            <w:color w:val="176EA4"/>
          </w:rPr>
          <w:t>Exercise </w:t>
        </w:r>
      </w:hyperlink>
      <w:r>
        <w:t xml:space="preserve"> </w:t>
      </w:r>
    </w:p>
    <w:p>
      <w:pPr>
        <w:keepNext/>
      </w:pPr>
      <w:r>
        <w:rPr>
          <w:b/>
          <w:i w:val="0"/>
        </w:rPr>
        <w:t>EM Mori–Tanaka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host/inclusion electrical properties and fractions</w:t>
      </w:r>
      <w:r>
        <w:t xml:space="preserve"> </w:t>
      </w:r>
      <w:r>
        <w:rPr>
          <w:b w:val="0"/>
          <w:i w:val="0"/>
        </w:rPr>
        <w:t>Result ↓</w:t>
      </w:r>
      <w:r>
        <w:t xml:space="preserve"> </w:t>
      </w:r>
      <w:r>
        <w:rPr>
          <w:b w:val="0"/>
          <w:i w:val="0"/>
        </w:rPr>
        <w:t>Effective permittivity; manual handoff to an RF layer, not an automatic mechanical-property update</w:t>
      </w:r>
    </w:p>
    <w:p>
      <w:pPr>
        <w:pStyle w:val="ListBullet"/>
      </w:pPr>
      <w:r>
        <w:rPr>
          <w:b w:val="0"/>
          <w:i w:val="0"/>
        </w:rPr>
        <w:t>EM · EM Mori–Tanaka</w:t>
      </w:r>
    </w:p>
    <w:p>
      <w:pPr/>
      <w:r>
        <w:rPr>
          <w:b w:val="0"/>
          <w:i w:val="0"/>
        </w:rPr>
        <w:t>Scalar principal-axis ellipsoidal field approximation.</w:t>
      </w:r>
    </w:p>
    <w:p>
      <w:hyperlink r:id="rId79">
        <w:r>
          <w:rPr>
            <w:color w:val="176EA4"/>
          </w:rPr>
          <w:t>∑ Theory &amp; limits</w:t>
        </w:r>
      </w:hyperlink>
      <w:r>
        <w:t xml:space="preserve"> </w:t>
      </w:r>
    </w:p>
    <w:p>
      <w:hyperlink r:id="rId80">
        <w:r>
          <w:rPr>
            <w:color w:val="176EA4"/>
          </w:rPr>
          <w:t>Exercise </w:t>
        </w:r>
      </w:hyperlink>
      <w:r>
        <w:t xml:space="preserve"> </w:t>
      </w:r>
    </w:p>
    <w:p>
      <w:pPr>
        <w:keepNext/>
      </w:pPr>
      <w:r>
        <w:rPr>
          <w:b/>
          <w:i w:val="0"/>
        </w:rPr>
        <w:t>EM self-consistent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host/inclusion electrical properties and fractions</w:t>
      </w:r>
      <w:r>
        <w:t xml:space="preserve"> </w:t>
      </w:r>
      <w:r>
        <w:rPr>
          <w:b w:val="0"/>
          <w:i w:val="0"/>
        </w:rPr>
        <w:t>Result ↓</w:t>
      </w:r>
      <w:r>
        <w:t xml:space="preserve"> </w:t>
      </w:r>
      <w:r>
        <w:rPr>
          <w:b w:val="0"/>
          <w:i w:val="0"/>
        </w:rPr>
        <w:t>Effective permittivity; manual handoff to an RF layer, not an automatic mechanical-property update</w:t>
      </w:r>
    </w:p>
    <w:p>
      <w:pPr>
        <w:pStyle w:val="ListBullet"/>
      </w:pPr>
      <w:r>
        <w:rPr>
          <w:b w:val="0"/>
          <w:i w:val="0"/>
        </w:rPr>
        <w:t>EM · EM self-consistent</w:t>
      </w:r>
    </w:p>
    <w:p>
      <w:pPr/>
      <w:r>
        <w:rPr>
          <w:b w:val="0"/>
          <w:i w:val="0"/>
        </w:rPr>
        <w:t>Scalar principal-axis self-consistency; spherical case equals Bruggeman.</w:t>
      </w:r>
    </w:p>
    <w:p>
      <w:hyperlink r:id="rId81">
        <w:r>
          <w:rPr>
            <w:color w:val="176EA4"/>
          </w:rPr>
          <w:t>∑ Theory &amp; limits</w:t>
        </w:r>
      </w:hyperlink>
      <w:r>
        <w:t xml:space="preserve"> </w:t>
      </w:r>
    </w:p>
    <w:p>
      <w:hyperlink r:id="rId82">
        <w:r>
          <w:rPr>
            <w:color w:val="176EA4"/>
          </w:rPr>
          <w:t>Exercise </w:t>
        </w:r>
      </w:hyperlink>
      <w:r>
        <w:t xml:space="preserve"> </w:t>
      </w:r>
    </w:p>
    <w:p>
      <w:pPr>
        <w:keepNext/>
      </w:pPr>
      <w:r>
        <w:rPr>
          <w:b/>
          <w:i w:val="0"/>
        </w:rPr>
        <w:t>Differential effective medium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host/inclusion electrical properties and fractions</w:t>
      </w:r>
      <w:r>
        <w:t xml:space="preserve"> </w:t>
      </w:r>
      <w:r>
        <w:rPr>
          <w:b w:val="0"/>
          <w:i w:val="0"/>
        </w:rPr>
        <w:t>Result ↓</w:t>
      </w:r>
      <w:r>
        <w:t xml:space="preserve"> </w:t>
      </w:r>
      <w:r>
        <w:rPr>
          <w:b w:val="0"/>
          <w:i w:val="0"/>
        </w:rPr>
        <w:t>Effective permittivity; manual handoff to an RF layer, not an automatic mechanical-property update</w:t>
      </w:r>
    </w:p>
    <w:p>
      <w:pPr>
        <w:pStyle w:val="ListBullet"/>
      </w:pPr>
      <w:r>
        <w:rPr>
          <w:b w:val="0"/>
          <w:i w:val="0"/>
        </w:rPr>
        <w:t>EM · Differential effective medium</w:t>
      </w:r>
    </w:p>
    <w:p>
      <w:pPr/>
      <w:r>
        <w:rPr>
          <w:b w:val="0"/>
          <w:i w:val="0"/>
        </w:rPr>
        <w:t>Incremental mixing with time-step refinement check.</w:t>
      </w:r>
    </w:p>
    <w:p>
      <w:hyperlink r:id="rId83">
        <w:r>
          <w:rPr>
            <w:color w:val="176EA4"/>
          </w:rPr>
          <w:t>∑ Theory &amp; limits</w:t>
        </w:r>
      </w:hyperlink>
      <w:r>
        <w:t xml:space="preserve"> </w:t>
      </w:r>
    </w:p>
    <w:p>
      <w:hyperlink r:id="rId84">
        <w:r>
          <w:rPr>
            <w:color w:val="176EA4"/>
          </w:rPr>
          <w:t>Exercise </w:t>
        </w:r>
      </w:hyperlink>
      <w:r>
        <w:t xml:space="preserve"> </w:t>
      </w:r>
    </w:p>
    <w:p>
      <w:pPr>
        <w:keepNext/>
      </w:pPr>
      <w:r>
        <w:rPr>
          <w:b/>
          <w:i w:val="0"/>
        </w:rPr>
        <w:t>Coated sphere and interphase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host/inclusion electrical properties and fractions</w:t>
      </w:r>
      <w:r>
        <w:t xml:space="preserve"> </w:t>
      </w:r>
      <w:r>
        <w:rPr>
          <w:b w:val="0"/>
          <w:i w:val="0"/>
        </w:rPr>
        <w:t>Result ↓</w:t>
      </w:r>
      <w:r>
        <w:t xml:space="preserve"> </w:t>
      </w:r>
      <w:r>
        <w:rPr>
          <w:b w:val="0"/>
          <w:i w:val="0"/>
        </w:rPr>
        <w:t>Effective permittivity; manual handoff to an RF layer, not an automatic mechanical-property update</w:t>
      </w:r>
    </w:p>
    <w:p>
      <w:pPr>
        <w:pStyle w:val="ListBullet"/>
      </w:pPr>
      <w:r>
        <w:rPr>
          <w:b w:val="0"/>
          <w:i w:val="0"/>
        </w:rPr>
        <w:t>EM · Coated sphere and interphase</w:t>
      </w:r>
    </w:p>
    <w:p>
      <w:pPr/>
      <w:r>
        <w:rPr>
          <w:b w:val="0"/>
          <w:i w:val="0"/>
        </w:rPr>
        <w:t>Concentric subwavelength coated spheres; no dynamic Mie scattering.</w:t>
      </w:r>
    </w:p>
    <w:p>
      <w:hyperlink r:id="rId85">
        <w:r>
          <w:rPr>
            <w:color w:val="176EA4"/>
          </w:rPr>
          <w:t>∑ Theory &amp; limits</w:t>
        </w:r>
      </w:hyperlink>
      <w:r>
        <w:t xml:space="preserve"> </w:t>
      </w:r>
    </w:p>
    <w:p>
      <w:hyperlink r:id="rId86">
        <w:r>
          <w:rPr>
            <w:color w:val="176EA4"/>
          </w:rPr>
          <w:t>Exercise </w:t>
        </w:r>
      </w:hyperlink>
      <w:r>
        <w:t xml:space="preserve"> </w:t>
      </w:r>
    </w:p>
    <w:p>
      <w:pPr>
        <w:keepNext/>
      </w:pPr>
      <w:r>
        <w:rPr>
          <w:b/>
          <w:i w:val="0"/>
        </w:rPr>
        <w:t>Generalized multiphase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host/inclusion electrical properties and fractions</w:t>
      </w:r>
      <w:r>
        <w:t xml:space="preserve"> </w:t>
      </w:r>
      <w:r>
        <w:rPr>
          <w:b w:val="0"/>
          <w:i w:val="0"/>
        </w:rPr>
        <w:t>Result ↓</w:t>
      </w:r>
      <w:r>
        <w:t xml:space="preserve"> </w:t>
      </w:r>
      <w:r>
        <w:rPr>
          <w:b w:val="0"/>
          <w:i w:val="0"/>
        </w:rPr>
        <w:t>Effective permittivity; manual handoff to an RF layer, not an automatic mechanical-property update</w:t>
      </w:r>
    </w:p>
    <w:p>
      <w:pPr>
        <w:pStyle w:val="ListBullet"/>
      </w:pPr>
      <w:r>
        <w:rPr>
          <w:b w:val="0"/>
          <w:i w:val="0"/>
        </w:rPr>
        <w:t>EM · Generalized multiphase EMT</w:t>
      </w:r>
    </w:p>
    <w:p>
      <w:pPr/>
      <w:r>
        <w:rPr>
          <w:b w:val="0"/>
          <w:i w:val="0"/>
        </w:rPr>
        <w:t>Spherical multiphase Bruggeman with convergence checks.</w:t>
      </w:r>
    </w:p>
    <w:p>
      <w:hyperlink r:id="rId87">
        <w:r>
          <w:rPr>
            <w:color w:val="176EA4"/>
          </w:rPr>
          <w:t>∑ Theory &amp; limits</w:t>
        </w:r>
      </w:hyperlink>
      <w:r>
        <w:t xml:space="preserve"> </w:t>
      </w:r>
    </w:p>
    <w:p>
      <w:hyperlink r:id="rId88">
        <w:r>
          <w:rPr>
            <w:color w:val="176EA4"/>
          </w:rPr>
          <w:t>Exercise </w:t>
        </w:r>
      </w:hyperlink>
      <w:r>
        <w:t xml:space="preserve"> </w:t>
      </w:r>
    </w:p>
    <w:p>
      <w:pPr>
        <w:keepNext/>
      </w:pPr>
      <w:r>
        <w:rPr>
          <w:b/>
          <w:i w:val="0"/>
        </w:rPr>
        <w:t>Oblique polarized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dielectric A/B layers, thicknesses, repetition, frequency and supported polarization</w:t>
      </w:r>
      <w:r>
        <w:t xml:space="preserve"> </w:t>
      </w:r>
      <w:r>
        <w:rPr>
          <w:b w:val="0"/>
          <w:i w:val="0"/>
        </w:rPr>
        <w:t>Result ↓</w:t>
      </w:r>
      <w:r>
        <w:t xml:space="preserve"> </w:t>
      </w:r>
      <w:r>
        <w:rPr>
          <w:b w:val="0"/>
          <w:i w:val="0"/>
        </w:rPr>
        <w:t>Reflection, transmission, absorption and shielding spectra; no mechanical coupling</w:t>
      </w:r>
    </w:p>
    <w:p>
      <w:pPr>
        <w:pStyle w:val="ListBullet"/>
      </w:pPr>
      <w:r>
        <w:rPr>
          <w:b w:val="0"/>
          <w:i w:val="0"/>
        </w:rPr>
        <w:t>EM · Oblique polarized laminate TMM</w:t>
      </w:r>
    </w:p>
    <w:p>
      <w:pPr/>
      <w:r>
        <w:rPr>
          <w:b w:val="0"/>
          <w:i w:val="0"/>
        </w:rPr>
        <w:t>TE or TM waves; scalar isotropic layers, no polarization conversion.</w:t>
      </w:r>
    </w:p>
    <w:p>
      <w:hyperlink r:id="rId89">
        <w:r>
          <w:rPr>
            <w:color w:val="176EA4"/>
          </w:rPr>
          <w:t>∑ Theory &amp; limits</w:t>
        </w:r>
      </w:hyperlink>
      <w:r>
        <w:t xml:space="preserve"> </w:t>
      </w:r>
    </w:p>
    <w:p>
      <w:hyperlink r:id="rId90">
        <w:r>
          <w:rPr>
            <w:color w:val="176EA4"/>
          </w:rPr>
          <w:t>Exercise </w:t>
        </w:r>
      </w:hyperlink>
      <w:r>
        <w:t xml:space="preserve"> </w:t>
      </w:r>
    </w:p>
    <w:p>
      <w:pPr>
        <w:keepNext/>
      </w:pPr>
      <w:r>
        <w:rPr>
          <w:b/>
          <w:i w:val="0"/>
        </w:rPr>
        <w:t>1D transmission line matrix</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dielectric A/B layers, thicknesses, repetition, frequency and supported polarization</w:t>
      </w:r>
      <w:r>
        <w:t xml:space="preserve"> </w:t>
      </w:r>
      <w:r>
        <w:rPr>
          <w:b w:val="0"/>
          <w:i w:val="0"/>
        </w:rPr>
        <w:t>Result ↓</w:t>
      </w:r>
      <w:r>
        <w:t xml:space="preserve"> </w:t>
      </w:r>
      <w:r>
        <w:rPr>
          <w:b w:val="0"/>
          <w:i w:val="0"/>
        </w:rPr>
        <w:t>Reflected and transmitted pulse histories and spectra; mesh and energy checks</w:t>
      </w:r>
    </w:p>
    <w:p>
      <w:pPr>
        <w:pStyle w:val="ListBullet"/>
      </w:pPr>
      <w:r>
        <w:rPr>
          <w:b w:val="0"/>
          <w:i w:val="0"/>
        </w:rPr>
        <w:t>EM · 1D transmission line matrix</w:t>
      </w:r>
    </w:p>
    <w:p>
      <w:pPr/>
      <w:r>
        <w:rPr>
          <w:b w:val="0"/>
          <w:i w:val="0"/>
        </w:rPr>
        <w:t>Normal-incidence lossless delay-line mesh with pulse decay, energy and mesh-refinement safeguards. Explicit Run required; not a 3D solver.</w:t>
      </w:r>
    </w:p>
    <w:p>
      <w:hyperlink r:id="rId91">
        <w:r>
          <w:rPr>
            <w:color w:val="176EA4"/>
          </w:rPr>
          <w:t>∑ Theory &amp; limits</w:t>
        </w:r>
      </w:hyperlink>
      <w:r>
        <w:t xml:space="preserve"> </w:t>
      </w:r>
    </w:p>
    <w:p>
      <w:hyperlink r:id="rId92">
        <w:r>
          <w:rPr>
            <w:color w:val="176EA4"/>
          </w:rPr>
          <w:t>Exercise </w:t>
        </w:r>
      </w:hyperlink>
      <w:r>
        <w:t xml:space="preserve"> </w:t>
      </w:r>
    </w:p>
    <w:p>
      <w:pPr>
        <w:keepNext/>
      </w:pPr>
      <w:r>
        <w:rPr>
          <w:b/>
          <w:i w:val="0"/>
        </w:rPr>
        <w:t>1D Floquet–Bloch periodic layers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r>
        <w:rPr>
          <w:b w:val="0"/>
          <w:i w:val="0"/>
        </w:rPr>
        <w:t>Input ↓</w:t>
      </w:r>
      <w:r>
        <w:t xml:space="preserve"> </w:t>
      </w:r>
      <w:r>
        <w:rPr>
          <w:b w:val="0"/>
          <w:i w:val="0"/>
        </w:rPr>
        <w:t>Explicit dielectric A/B layers, thicknesses, repetition, frequency and supported polarization</w:t>
      </w:r>
      <w:r>
        <w:t xml:space="preserve"> </w:t>
      </w:r>
      <w:r>
        <w:rPr>
          <w:b w:val="0"/>
          <w:i w:val="0"/>
        </w:rPr>
        <w:t>Result ↓</w:t>
      </w:r>
      <w:r>
        <w:t xml:space="preserve"> </w:t>
      </w:r>
      <w:r>
        <w:rPr>
          <w:b w:val="0"/>
          <w:i w:val="0"/>
        </w:rPr>
        <w:t>Periodic-cell eigenvalues, folded Bloch phase and stop-band decay</w:t>
      </w:r>
    </w:p>
    <w:p>
      <w:pPr>
        <w:pStyle w:val="ListBullet"/>
      </w:pPr>
      <w:r>
        <w:rPr>
          <w:b w:val="0"/>
          <w:i w:val="0"/>
        </w:rPr>
        <w:t>EM · 1D Floquet–Bloch periodic layers</w:t>
      </w:r>
    </w:p>
    <w:p>
      <w:pPr/>
      <w:r>
        <w:rPr>
          <w:b w:val="0"/>
          <w:i w:val="0"/>
        </w:rPr>
        <w:t>Lossless isotropic A/B unit-cell eigenvalues, folded Bloch phase and stop-band attenuation at normal incidence. Not arbitrary-cell homogenization.</w:t>
      </w:r>
    </w:p>
    <w:p>
      <w:hyperlink r:id="rId93">
        <w:r>
          <w:rPr>
            <w:color w:val="176EA4"/>
          </w:rPr>
          <w:t>∑ Theory &amp; limits</w:t>
        </w:r>
      </w:hyperlink>
      <w:r>
        <w:t xml:space="preserve"> </w:t>
      </w:r>
    </w:p>
    <w:p>
      <w:hyperlink r:id="rId94">
        <w:r>
          <w:rPr>
            <w:color w:val="176EA4"/>
          </w:rPr>
          <w:t>Exercise </w:t>
        </w:r>
      </w:hyperlink>
      <w:r>
        <w:t xml:space="preserve"> </w:t>
      </w:r>
    </w:p>
    <w:p>
      <w:pPr>
        <w:pStyle w:val="Heading2"/>
      </w:pPr>
      <w:r>
        <w:t>Select cases and inspect your model</w:t>
      </w:r>
    </w:p>
    <w:p>
      <w:pPr>
        <w:keepNext/>
      </w:pPr>
      <w:r>
        <w:rPr>
          <w:b/>
          <w:i w:val="0"/>
        </w:rP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keepNext/>
      </w:pPr>
      <w:r>
        <w:rPr>
          <w:b/>
          <w:i w:val="0"/>
        </w:rP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evidence of a successful solve.</w:t>
      </w:r>
    </w:p>
    <w:p>
      <w:pPr/>
      <w:r>
        <w:rPr>
          <w:b w:val="0"/>
          <w:i w:val="0"/>
        </w:rPr>
        <w:t>Selecting several cases does not add unsupported physics coupling. EM screening studies do not automatically heat the thermal case.</w:t>
      </w:r>
    </w:p>
    <w:p>
      <w:pPr>
        <w:keepNext/>
      </w:pPr>
      <w:r>
        <w:rPr>
          <w:b/>
          <w:i w:val="0"/>
        </w:rP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hyperlink r:id="rId95">
        <w:r>
          <w:rPr>
            <w:color w:val="176EA4"/>
          </w:rPr>
          <w:t>Complete block workflow guide</w:t>
        </w:r>
      </w:hyperlink>
      <w:r>
        <w:t xml:space="preserve"> </w:t>
      </w:r>
    </w:p>
    <w:p>
      <w:pPr>
        <w:pStyle w:val="Heading2"/>
      </w:pPr>
      <w:r>
        <w:t>RF and microwave studies</w:t>
      </w:r>
    </w:p>
    <w:p>
      <w:hyperlink r:id="rId73">
        <w:r>
          <w:rPr>
            <w:color w:val="176EA4"/>
          </w:rPr>
          <w:t>Dielectric phase inputs</w:t>
        </w:r>
      </w:hyperlink>
      <w:r>
        <w:t xml:space="preserve"> </w:t>
      </w:r>
      <w:r>
        <w:rPr>
          <w:b w:val="0"/>
          <w:i w:val="0"/>
        </w:rPr>
        <w:t>→</w:t>
      </w:r>
      <w:r>
        <w:t xml:space="preserve"> </w:t>
      </w:r>
      <w:hyperlink r:id="rId77">
        <w:r>
          <w:rPr>
            <w:color w:val="176EA4"/>
          </w:rPr>
          <w:t>Effective medium</w:t>
        </w:r>
      </w:hyperlink>
      <w:r>
        <w:t xml:space="preserve"> </w:t>
      </w:r>
      <w:r>
        <w:rPr>
          <w:b w:val="0"/>
          <w:i w:val="0"/>
        </w:rPr>
        <w:t>→ manual property handoff →</w:t>
      </w:r>
      <w:r>
        <w:t xml:space="preserve"> </w:t>
      </w:r>
      <w:hyperlink r:id="rId75">
        <w:r>
          <w:rPr>
            <w:color w:val="176EA4"/>
          </w:rPr>
          <w:t>RF laminate and EM field</w:t>
        </w:r>
      </w:hyperlink>
      <w:r>
        <w:t xml:space="preserve"> </w:t>
      </w:r>
      <w:r>
        <w:rPr>
          <w:b w:val="0"/>
          <w:i w:val="0"/>
        </w:rPr>
        <w:t>→</w:t>
      </w:r>
      <w:r>
        <w:t xml:space="preserve"> </w:t>
      </w:r>
      <w:hyperlink r:id="rId89">
        <w:r>
          <w:rPr>
            <w:color w:val="176EA4"/>
          </w:rPr>
          <w:t>Reflection · transmission · shielding</w:t>
        </w:r>
      </w:hyperlink>
      <w:r>
        <w:t xml:space="preserve"> </w:t>
      </w:r>
    </w:p>
    <w:p>
      <w:pPr/>
      <w:r>
        <w:rPr>
          <w:b w:val="0"/>
          <w:i w:val="0"/>
        </w:rPr>
        <w:t>Separate RF screening studies use measured electrical properties. They do not infer dielectric behavior from mechanical data or automatically couple electromagnetic heating into a process cycle.</w:t>
      </w:r>
    </w:p>
    <w:p>
      <w:hyperlink r:id="rId96">
        <w:r>
          <w:rPr>
            <w:color w:val="176EA4"/>
          </w:rPr>
          <w:t>Models, equations, worked example and limits </w:t>
        </w:r>
      </w:hyperlink>
      <w:r>
        <w:t xml:space="preserve"> </w:t>
      </w:r>
    </w:p>
    <w:p>
      <w:bookmarkStart w:id="2" w:name="chapter_2"/>
      <w:pPr>
        <w:pStyle w:val="Heading1"/>
        <w:pageBreakBefore/>
      </w:pPr>
      <w:r>
        <w:t>2 Turn model output into repeatable engineering evidence</w:t>
      </w:r>
      <w:bookmarkEnd w:id="2"/>
    </w:p>
    <w:p>
      <w:pPr>
        <w:pStyle w:val="Caption"/>
      </w:pPr>
      <w:hyperlink r:id="rId97">
        <w:r>
          <w:rPr>
            <w:color w:val="176EA4"/>
          </w:rPr>
          <w:t>Online chapter</w:t>
        </w:r>
      </w:hyperlink>
      <w:r>
        <w:t xml:space="preserve"> </w:t>
      </w:r>
    </w:p>
    <w:p>
      <w:pPr/>
      <w:r>
        <w:rPr>
          <w:b w:val="0"/>
          <w:i w:val="0"/>
        </w:rPr>
        <w:t>CDS solves the handoff from analysis to decision by linking comparisons, fields, tables, parametric studies, and open exports across the complete composite model chain.</w:t>
      </w:r>
    </w:p>
    <w:p>
      <w:r>
        <w:rPr>
          <w:b/>
          <w:i w:val="0"/>
        </w:rPr>
        <w:t>02.7</w:t>
      </w:r>
      <w:r>
        <w:rPr>
          <w:b/>
          <w:i w:val="0"/>
        </w:rPr>
        <w:t xml:space="preserve"> </w:t>
      </w:r>
      <w:r>
        <w:rPr>
          <w:b/>
          <w:i w:val="0"/>
        </w:rPr>
        <w:t xml:space="preserve"> / Workbench — </w:t>
      </w:r>
      <w:r>
        <w:rPr>
          <w:b/>
          <w:i w:val="0"/>
        </w:rPr>
        <w:t xml:space="preserve"> </w:t>
      </w:r>
      <w:r>
        <w:rPr>
          <w:b/>
          <w:i w:val="0"/>
        </w:rPr>
        <w:t>Engineering evidence &amp; automation</w:t>
      </w:r>
      <w:r>
        <w:t xml:space="preserve"> </w:t>
      </w:r>
      <w:hyperlink r:id="rId98">
        <w:r>
          <w:rPr>
            <w:color w:val="176EA4"/>
          </w:rPr>
          <w:t>Open full-size view </w:t>
        </w:r>
      </w:hyperlink>
      <w:r>
        <w:t xml:space="preserve"> </w:t>
      </w:r>
    </w:p>
    <w:p>
      <w:pPr>
        <w:keepNext w:val="0"/>
        <w:jc w:val="center"/>
      </w:pPr>
      <w:r>
        <w:drawing>
          <wp:inline xmlns:a="http://schemas.openxmlformats.org/drawingml/2006/main" xmlns:pic="http://schemas.openxmlformats.org/drawingml/2006/picture">
            <wp:extent cx="6217920" cy="4304354"/>
            <wp:docPr id="3" name="Picture 3" descr="Laminate Ex–Ey carpet plot with an interactive design point and corresponding live laminate stack"/>
            <wp:cNvGraphicFramePr>
              <a:graphicFrameLocks noChangeAspect="1"/>
            </wp:cNvGraphicFramePr>
            <a:graphic>
              <a:graphicData uri="http://schemas.openxmlformats.org/drawingml/2006/picture">
                <pic:pic>
                  <pic:nvPicPr>
                    <pic:cNvPr id="0" name="41ea158514a54f9949759e528b78fd45dbe58b1a5d74a46fba9f64b6f2128116.png"/>
                    <pic:cNvPicPr/>
                  </pic:nvPicPr>
                  <pic:blipFill>
                    <a:blip r:embed="rId99"/>
                    <a:stretch>
                      <a:fillRect/>
                    </a:stretch>
                  </pic:blipFill>
                  <pic:spPr>
                    <a:xfrm>
                      <a:off x="0" y="0"/>
                      <a:ext cx="6217920" cy="4304354"/>
                    </a:xfrm>
                    <a:prstGeom prst="rect"/>
                  </pic:spPr>
                </pic:pic>
              </a:graphicData>
            </a:graphic>
          </wp:inline>
        </w:drawing>
      </w:r>
    </w:p>
    <w:p>
      <w:pPr/>
      <w:r>
        <w:rPr>
          <w:b w:val="0"/>
          <w:i w:val="0"/>
        </w:rPr>
        <w:t>A linked carpet plot and laminate stack make the selected design visible alongside its properties.</w:t>
      </w:r>
    </w:p>
    <w:p>
      <w:pPr/>
      <w:r>
        <w:rPr>
          <w:b w:val="0"/>
          <w:i w:val="0"/>
        </w:rPr>
        <w:t xml:space="preserve">Workbench capture · </w:t>
      </w:r>
      <w:r>
        <w:rPr>
          <w:b w:val="0"/>
          <w:i w:val="0"/>
        </w:rPr>
        <w:t xml:space="preserve"> </w:t>
      </w:r>
      <w:r>
        <w:rPr>
          <w:b w:val="0"/>
          <w:i w:val="0"/>
        </w:rPr>
        <w:t>September 6, 2026</w:t>
      </w:r>
      <w:r>
        <w:rPr>
          <w:b w:val="0"/>
          <w:i w:val="0"/>
        </w:rPr>
        <w:t xml:space="preserve"> </w:t>
      </w:r>
      <w:r>
        <w:rPr>
          <w:b w:val="0"/>
          <w:i w:val="0"/>
        </w:rPr>
        <w:t>. Representative interface and demo data, not a new solver run or validation certificate. Control locations may differ in later releases.</w:t>
      </w:r>
      <w:r>
        <w:t xml:space="preserve"> </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4" name="Picture 4" descr="CDS workflow or model illustration"/>
            <wp:cNvGraphicFramePr>
              <a:graphicFrameLocks noChangeAspect="1"/>
            </wp:cNvGraphicFramePr>
            <a:graphic>
              <a:graphicData uri="http://schemas.openxmlformats.org/drawingml/2006/picture">
                <pic:pic>
                  <pic:nvPicPr>
                    <pic:cNvPr id="0" name="rsvg-f24009332ae24c1362f2b359ad36a7ce9c736e742dd0a83654e84abeb7e1313b.png"/>
                    <pic:cNvPicPr/>
                  </pic:nvPicPr>
                  <pic:blipFill>
                    <a:blip r:embed="rId100"/>
                    <a:stretch>
                      <a:fillRect/>
                    </a:stretch>
                  </pic:blipFill>
                  <pic:spPr>
                    <a:xfrm>
                      <a:off x="0" y="0"/>
                      <a:ext cx="6217920" cy="1935767"/>
                    </a:xfrm>
                    <a:prstGeom prst="rect"/>
                  </pic:spPr>
                </pic:pic>
              </a:graphicData>
            </a:graphic>
          </wp:inline>
        </w:drawing>
      </w:r>
    </w:p>
    <w:p>
      <w:pPr/>
      <w:r>
        <w:rPr>
          <w:b w:val="0"/>
          <w:i w:val="0"/>
        </w:rPr>
        <w:t>Materials → Micro → Laminate.</w:t>
      </w:r>
    </w:p>
    <w:p>
      <w:pPr/>
      <w:r>
        <w:rPr>
          <w:b w:val="0"/>
          <w:i w:val="0"/>
        </w:rPr>
        <w:t>02.7</w:t>
      </w:r>
      <w:r>
        <w:rPr>
          <w:b w:val="0"/>
          <w:i w:val="0"/>
        </w:rPr>
        <w:t xml:space="preserve"> </w:t>
      </w:r>
      <w:r>
        <w:rPr>
          <w:b w:val="0"/>
          <w:i w:val="0"/>
        </w:rPr>
        <w:t xml:space="preserve"> / How CDS solves it</w:t>
      </w:r>
    </w:p>
    <w:p>
      <w:pPr/>
      <w:r>
        <w:rPr>
          <w:b w:val="0"/>
          <w:i w:val="0"/>
        </w:rPr>
        <w:t>From engineering question to evidence</w:t>
      </w:r>
    </w:p>
    <w:p>
      <w:pPr>
        <w:pStyle w:val="Heading2"/>
      </w:pPr>
      <w:r>
        <w:t>Compare properties</w:t>
      </w:r>
    </w:p>
    <w:p>
      <w:pPr/>
      <w:r>
        <w:rPr>
          <w:b w:val="0"/>
          <w:i w:val="0"/>
        </w:rPr>
        <w:t>Select one or more materials, laminas, laminates, simulations or optimization snapshots and review scrollable tables, bar charts, Ashby plots, line plots, property maps, and laminate stiffness matrices.</w:t>
      </w:r>
    </w:p>
    <w:p>
      <w:pPr>
        <w:pStyle w:val="Heading2"/>
      </w:pPr>
      <w:r>
        <w:t>Explore field response</w:t>
      </w:r>
    </w:p>
    <w:p>
      <w:pPr/>
      <w:r>
        <w:rPr>
          <w:b w:val="0"/>
          <w:i w:val="0"/>
        </w:rPr>
        <w:t>Move result cursors through time and thickness to update linked thermal plots, or select stress, strain, displacement, resultant, and factor-of-safety views for a structural case.</w:t>
      </w:r>
    </w:p>
    <w:p>
      <w:pPr>
        <w:pStyle w:val="Heading2"/>
      </w:pPr>
      <w:r>
        <w:t>Export the evidence</w:t>
      </w:r>
    </w:p>
    <w:p>
      <w:pPr/>
      <w:r>
        <w:rPr>
          <w:b w:val="0"/>
          <w:i w:val="0"/>
        </w:rPr>
        <w:t>Right-click supported tables to save CSV or XLSX data and presentation-oriented PPTX output where available, or write supported material cards for downstream finite-element analysis.</w:t>
      </w:r>
    </w:p>
    <w:p>
      <w:pPr/>
      <w:r>
        <w:rPr>
          <w:b w:val="0"/>
          <w:i w:val="0"/>
        </w:rPr>
        <w:t xml:space="preserve">Workbench availability: </w:t>
      </w:r>
      <w:hyperlink r:id="rId101">
        <w:r>
          <w:rPr>
            <w:color w:val="176EA4"/>
          </w:rPr>
          <w:t>released models, inputs and compatible study paths</w:t>
        </w:r>
      </w:hyperlink>
      <w:r>
        <w:t xml:space="preserve"> </w:t>
      </w:r>
      <w:r>
        <w:rPr>
          <w:b w:val="0"/>
          <w:i w:val="0"/>
        </w:rPr>
        <w:t>. The wider theory library includes reference formulations not available in every Workbench solve.</w:t>
      </w:r>
    </w:p>
    <w:p>
      <w:pPr>
        <w:keepNext/>
      </w:pPr>
      <w:r>
        <w:rPr>
          <w:b/>
          <w:i w:val="0"/>
        </w:rPr>
        <w:t>Released models, connections and theory</w:t>
      </w:r>
    </w:p>
    <w:p>
      <w:pPr/>
      <w:hyperlink r:id="rId101">
        <w:r>
          <w:rPr>
            <w:color w:val="176EA4"/>
          </w:rPr>
          <w:t>Complete model directory </w:t>
        </w:r>
      </w:hyperlink>
      <w:r>
        <w:t xml:space="preserve"> </w:t>
      </w:r>
    </w:p>
    <w:p>
      <w:pPr>
        <w:keepNext/>
      </w:pPr>
      <w:r>
        <w:rPr>
          <w:b/>
          <w:i w:val="0"/>
        </w:rPr>
        <w:t xml:space="preserve">∑ </w:t>
      </w:r>
      <w:r>
        <w:rPr>
          <w:b/>
          <w:i w:val="0"/>
        </w:rPr>
        <w:t xml:space="preserve"> </w:t>
      </w:r>
      <w:r>
        <w:rPr>
          <w:b/>
          <w:i w:val="0"/>
        </w:rPr>
        <w:t>Micromechanics</w:t>
      </w:r>
    </w:p>
    <w:p>
      <w:pPr/>
      <w:r>
        <w:rPr>
          <w:b w:val="0"/>
          <w:i w:val="0"/>
        </w:rPr>
        <w:t>Models browser → Micromechanics · source: Micro</w:t>
      </w:r>
    </w:p>
    <w:p>
      <w:r>
        <w:rPr>
          <w:b w:val="0"/>
          <w:i w:val="0"/>
        </w:rPr>
        <w:t>Inputs</w:t>
      </w:r>
      <w:r>
        <w:t xml:space="preserve"> </w:t>
      </w:r>
      <w:r>
        <w:rPr>
          <w:b w:val="0"/>
          <w:i w:val="0"/>
        </w:rPr>
        <w:t>Constituents, architecture, fractions and calibrated modifiers</w:t>
      </w:r>
      <w:r>
        <w:t xml:space="preserve"> </w:t>
      </w:r>
      <w:r>
        <w:rPr>
          <w:b w:val="0"/>
          <w:i w:val="0"/>
        </w:rPr>
        <w:t>Results / handoff</w:t>
      </w:r>
      <w:r>
        <w:t xml:space="preserve"> </w:t>
      </w:r>
      <w:r>
        <w:rPr>
          <w:b w:val="0"/>
          <w:i w:val="0"/>
        </w:rPr>
        <w:t>Reference ply properties for each linked laminate ply</w:t>
      </w:r>
    </w:p>
    <w:p>
      <w:pPr/>
      <w:r>
        <w:rPr>
          <w:b w:val="0"/>
          <w:i w:val="0"/>
        </w:rPr>
        <w:t>One compatible homogenization model per Micro recipe. Use separate recipes for comparisons; they are not combined in a single ply.</w:t>
      </w:r>
    </w:p>
    <w:p>
      <w:pPr>
        <w:keepNext/>
      </w:pPr>
      <w:r>
        <w:rPr>
          <w:b/>
          <w:i w:val="0"/>
        </w:rPr>
        <w:t>Formulations and study choices</w:t>
      </w:r>
    </w:p>
    <w:p>
      <w:pPr>
        <w:pStyle w:val="ListBullet"/>
      </w:pPr>
      <w:r>
        <w:rPr>
          <w:b w:val="0"/>
          <w:i w:val="0"/>
        </w:rPr>
        <w:t>Halpin–Tsai</w:t>
      </w:r>
    </w:p>
    <w:p>
      <w:pPr>
        <w:pStyle w:val="ListBullet"/>
      </w:pPr>
      <w:r>
        <w:rPr>
          <w:b w:val="0"/>
          <w:i w:val="0"/>
        </w:rPr>
        <w:t>Rule of mixtures</w:t>
      </w:r>
    </w:p>
    <w:p>
      <w:pPr>
        <w:pStyle w:val="ListBullet"/>
      </w:pPr>
      <w:r>
        <w:rPr>
          <w:b w:val="0"/>
          <w:i w:val="0"/>
        </w:rPr>
        <w:t>Modified rule of mixtures</w:t>
      </w:r>
    </w:p>
    <w:p>
      <w:pPr>
        <w:pStyle w:val="ListBullet"/>
      </w:pPr>
      <w:r>
        <w:rPr>
          <w:b w:val="0"/>
          <w:i w:val="0"/>
        </w:rPr>
        <w:t>Chamis</w:t>
      </w:r>
    </w:p>
    <w:p>
      <w:pPr>
        <w:pStyle w:val="ListBullet"/>
      </w:pPr>
      <w:r>
        <w:rPr>
          <w:b w:val="0"/>
          <w:i w:val="0"/>
        </w:rPr>
        <w:t>Mori–Tanaka</w:t>
      </w:r>
    </w:p>
    <w:p>
      <w:pPr>
        <w:pStyle w:val="ListBullet"/>
      </w:pPr>
      <w:r>
        <w:rPr>
          <w:b w:val="0"/>
          <w:i w:val="0"/>
        </w:rPr>
        <w:t>Hashin–Rosen</w:t>
      </w:r>
    </w:p>
    <w:p>
      <w:pPr>
        <w:pStyle w:val="ListBullet"/>
      </w:pPr>
      <w:r>
        <w:rPr>
          <w:b w:val="0"/>
          <w:i w:val="0"/>
        </w:rPr>
        <w:t>Self-consistent scheme</w:t>
      </w:r>
    </w:p>
    <w:p>
      <w:pPr>
        <w:pStyle w:val="ListBullet"/>
      </w:pPr>
      <w:r>
        <w:rPr>
          <w:b w:val="0"/>
          <w:i w:val="0"/>
        </w:rPr>
        <w:t>Woven fabric bridging</w:t>
      </w:r>
    </w:p>
    <w:p>
      <w:pPr>
        <w:pStyle w:val="ListBullet"/>
      </w:pPr>
      <w:r>
        <w:rPr>
          <w:b w:val="0"/>
          <w:i w:val="0"/>
        </w:rPr>
        <w:t>Cox shear-lag elastic</w:t>
      </w:r>
    </w:p>
    <w:p>
      <w:hyperlink r:id="rId14">
        <w:r>
          <w:rPr>
            <w:color w:val="176EA4"/>
          </w:rPr>
          <w:t>∑ Theory &amp; assumptions</w:t>
        </w:r>
      </w:hyperlink>
      <w:r>
        <w:t xml:space="preserve"> </w:t>
      </w:r>
    </w:p>
    <w:p>
      <w:hyperlink r:id="rId15">
        <w:r>
          <w:rPr>
            <w:color w:val="176EA4"/>
          </w:rPr>
          <w:t>Guided exercise &amp; two-layer workflow </w:t>
        </w:r>
      </w:hyperlink>
      <w:r>
        <w:t xml:space="preserve"> </w:t>
      </w:r>
    </w:p>
    <w:p>
      <w:pPr>
        <w:keepNext/>
      </w:pPr>
      <w:r>
        <w:rPr>
          <w:b/>
          <w:i w:val="0"/>
        </w:rPr>
        <w:t xml:space="preserve">∑ </w:t>
      </w:r>
      <w:r>
        <w:rPr>
          <w:b/>
          <w:i w:val="0"/>
        </w:rPr>
        <w:t xml:space="preserve"> </w:t>
      </w:r>
      <w:r>
        <w:rPr>
          <w:b/>
          <w:i w:val="0"/>
        </w:rPr>
        <w:t>Cure, crystallization &amp; material transport</w:t>
      </w:r>
    </w:p>
    <w:p>
      <w:pPr/>
      <w:r>
        <w:rPr>
          <w:b w:val="0"/>
          <w:i w:val="0"/>
        </w:rPr>
        <w:t>Models → material-model folders · assigned through Materials</w:t>
      </w:r>
    </w:p>
    <w:p>
      <w:r>
        <w:rPr>
          <w:b w:val="0"/>
          <w:i w:val="0"/>
        </w:rPr>
        <w:t>Inputs</w:t>
      </w:r>
      <w:r>
        <w:t xml:space="preserve"> </w:t>
      </w:r>
      <w:r>
        <w:rPr>
          <w:b w:val="0"/>
          <w:i w:val="0"/>
        </w:rPr>
        <w:t>Calibrated kinetics, modulus or transport laws and material assignment</w:t>
      </w:r>
      <w:r>
        <w:t xml:space="preserve"> </w:t>
      </w:r>
      <w:r>
        <w:rPr>
          <w:b w:val="0"/>
          <w:i w:val="0"/>
        </w:rPr>
        <w:t>Results / handoff</w:t>
      </w:r>
      <w:r>
        <w:t xml:space="preserve"> </w:t>
      </w:r>
      <w:r>
        <w:rPr>
          <w:b w:val="0"/>
          <w:i w:val="0"/>
        </w:rPr>
        <w:t>Material laws consumed by compatible Micro or transport calculations</w:t>
      </w:r>
    </w:p>
    <w:p>
      <w:pPr/>
      <w:r>
        <w:rPr>
          <w:b w:val="0"/>
          <w:i w:val="0"/>
        </w:rPr>
        <w:t>Independent model records can be linked together through material inputs. A saved model must be assigned to a material before it contributes to a simulation.</w:t>
      </w:r>
    </w:p>
    <w:p>
      <w:pPr>
        <w:keepNext/>
      </w:pPr>
      <w:r>
        <w:rPr>
          <w:b/>
          <w:i w:val="0"/>
        </w:rPr>
        <w:t>Formulations and study choices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hyperlink r:id="rId16">
        <w:r>
          <w:rPr>
            <w:color w:val="176EA4"/>
          </w:rPr>
          <w:t>∑ Theory &amp; assumptions</w:t>
        </w:r>
      </w:hyperlink>
      <w:r>
        <w:t xml:space="preserve"> </w:t>
      </w:r>
    </w:p>
    <w:p>
      <w:hyperlink r:id="rId17">
        <w:r>
          <w:rPr>
            <w:color w:val="176EA4"/>
          </w:rPr>
          <w:t>Guided exercise &amp; two-layer workflow </w:t>
        </w:r>
      </w:hyperlink>
      <w:r>
        <w:t xml:space="preserve"> </w:t>
      </w:r>
    </w:p>
    <w:p>
      <w:pPr/>
      <w:r>
        <w:rPr>
          <w:b w:val="0"/>
          <w:i w:val="0"/>
        </w:rPr>
        <w:t xml:space="preserve"> · </w:t>
      </w:r>
      <w:hyperlink r:id="rId102">
        <w:r>
          <w:rPr>
            <w:color w:val="176EA4"/>
          </w:rPr>
          <w:t>Cure kinetics</w:t>
        </w:r>
      </w:hyperlink>
      <w:r>
        <w:t xml:space="preserve"> </w:t>
      </w:r>
    </w:p>
    <w:p>
      <w:pPr/>
      <w:r>
        <w:rPr>
          <w:b w:val="0"/>
          <w:i w:val="0"/>
        </w:rPr>
        <w:t xml:space="preserve"> · </w:t>
      </w:r>
      <w:hyperlink r:id="rId103">
        <w:r>
          <w:rPr>
            <w:color w:val="176EA4"/>
          </w:rPr>
          <w:t>Crystallization kinetics</w:t>
        </w:r>
      </w:hyperlink>
      <w:r>
        <w:t xml:space="preserve"> </w:t>
      </w:r>
    </w:p>
    <w:p>
      <w:pPr>
        <w:keepNext/>
      </w:pPr>
      <w:r>
        <w:rPr>
          <w:b/>
          <w:i w:val="0"/>
        </w:rPr>
        <w:t xml:space="preserve">∑ </w:t>
      </w:r>
      <w:r>
        <w:rPr>
          <w:b/>
          <w:i w:val="0"/>
        </w:rPr>
        <w:t xml:space="preserve"> </w:t>
      </w:r>
      <w:r>
        <w:rPr>
          <w:b/>
          <w:i w:val="0"/>
        </w:rPr>
        <w:t>Thermal transport</w:t>
      </w:r>
    </w:p>
    <w:p>
      <w:pPr/>
      <w:r>
        <w:rPr>
          <w:b w:val="0"/>
          <w:i w:val="0"/>
        </w:rPr>
        <w:t>Models browser → Thermal transport · source: CASES / Thermal</w:t>
      </w:r>
    </w:p>
    <w:p>
      <w:r>
        <w:rPr>
          <w:b w:val="0"/>
          <w:i w:val="0"/>
        </w:rPr>
        <w:t>Inputs</w:t>
      </w:r>
      <w:r>
        <w:t xml:space="preserve"> </w:t>
      </w:r>
      <w:r>
        <w:rPr>
          <w:b w:val="0"/>
          <w:i w:val="0"/>
        </w:rPr>
        <w:t>Laminate transport properties, initial state and the thermal case’s own surface cycle</w:t>
      </w:r>
      <w:r>
        <w:t xml:space="preserve"> </w:t>
      </w:r>
      <w:r>
        <w:rPr>
          <w:b w:val="0"/>
          <w:i w:val="0"/>
        </w:rPr>
        <w:t>Results / handoff</w:t>
      </w:r>
      <w:r>
        <w:t xml:space="preserve"> </w:t>
      </w:r>
      <w:r>
        <w:rPr>
          <w:b w:val="0"/>
          <w:i w:val="0"/>
        </w:rPr>
        <w:t>Temperature and supported polymer-state histories; mapped fields only when coupling is enabled</w:t>
      </w:r>
    </w:p>
    <w:p>
      <w:pPr/>
      <w:r>
        <w:rPr>
          <w:b w:val="0"/>
          <w:i w:val="0"/>
        </w:rPr>
        <w:t>One transport formulation per thermal case. Select its laminate and configure its own initial conditions and surface cycle; pultrusion additionally requires a distance-based die schedule and pulling velocity.</w:t>
      </w:r>
    </w:p>
    <w:p>
      <w:pPr>
        <w:keepNext/>
      </w:pPr>
      <w:r>
        <w:rPr>
          <w:b/>
          <w:i w:val="0"/>
        </w:rPr>
        <w:t>Formulations and study choices</w:t>
      </w:r>
    </w:p>
    <w:p>
      <w:pPr>
        <w:pStyle w:val="ListBullet"/>
      </w:pPr>
      <w:r>
        <w:rPr>
          <w:b w:val="0"/>
          <w:i w:val="0"/>
        </w:rPr>
        <w:t>1D transient heat transfer</w:t>
      </w:r>
    </w:p>
    <w:p>
      <w:pPr>
        <w:pStyle w:val="ListBullet"/>
      </w:pPr>
      <w:r>
        <w:rPr>
          <w:b w:val="0"/>
          <w:i w:val="0"/>
        </w:rPr>
        <w:t>1D steady-state heat transfer</w:t>
      </w:r>
    </w:p>
    <w:p>
      <w:pPr>
        <w:pStyle w:val="ListBullet"/>
      </w:pPr>
      <w:r>
        <w:rPr>
          <w:b w:val="0"/>
          <w:i w:val="0"/>
        </w:rPr>
        <w:t>1D pultrusion thermal cure</w:t>
      </w:r>
    </w:p>
    <w:p>
      <w:hyperlink r:id="rId18">
        <w:r>
          <w:rPr>
            <w:color w:val="176EA4"/>
          </w:rPr>
          <w:t>∑ Theory &amp; assumptions</w:t>
        </w:r>
      </w:hyperlink>
      <w:r>
        <w:t xml:space="preserve"> </w:t>
      </w:r>
    </w:p>
    <w:p>
      <w:hyperlink r:id="rId19">
        <w:r>
          <w:rPr>
            <w:color w:val="176EA4"/>
          </w:rPr>
          <w:t>Guided exercise &amp; two-layer workflow </w:t>
        </w:r>
      </w:hyperlink>
      <w:r>
        <w:t xml:space="preserve"> </w:t>
      </w:r>
    </w:p>
    <w:p>
      <w:pPr/>
      <w:r>
        <w:rPr>
          <w:b w:val="0"/>
          <w:i w:val="0"/>
        </w:rPr>
        <w:t xml:space="preserve"> · </w:t>
      </w:r>
      <w:hyperlink r:id="rId104">
        <w:r>
          <w:rPr>
            <w:color w:val="176EA4"/>
          </w:rPr>
          <w:t>Pultrusion exercise</w:t>
        </w:r>
      </w:hyperlink>
      <w:r>
        <w:t xml:space="preserve"> </w:t>
      </w:r>
    </w:p>
    <w:p>
      <w:pPr/>
      <w:r>
        <w:rPr>
          <w:b w:val="0"/>
          <w:i w:val="0"/>
        </w:rPr>
        <w:t xml:space="preserve"> · </w:t>
      </w:r>
      <w:hyperlink r:id="rId105">
        <w:r>
          <w:rPr>
            <w:color w:val="176EA4"/>
          </w:rPr>
          <w:t>UV cure exercise</w:t>
        </w:r>
      </w:hyperlink>
      <w:r>
        <w:t xml:space="preserve"> </w:t>
      </w:r>
    </w:p>
    <w:p>
      <w:pPr>
        <w:keepNext/>
      </w:pPr>
      <w:r>
        <w:rPr>
          <w:b/>
          <w:i w:val="0"/>
        </w:rPr>
        <w:t xml:space="preserve">∑ </w:t>
      </w:r>
      <w:r>
        <w:rPr>
          <w:b/>
          <w:i w:val="0"/>
        </w:rPr>
        <w:t xml:space="preserve"> </w:t>
      </w:r>
      <w:r>
        <w:rPr>
          <w:b/>
          <w:i w:val="0"/>
        </w:rPr>
        <w:t>Moisture transport</w:t>
      </w:r>
    </w:p>
    <w:p>
      <w:pPr/>
      <w:r>
        <w:rPr>
          <w:b w:val="0"/>
          <w:i w:val="0"/>
        </w:rPr>
        <w:t>Models browser → Moisture transport · source: CASES / Moisture</w:t>
      </w:r>
    </w:p>
    <w:p>
      <w:r>
        <w:rPr>
          <w:b w:val="0"/>
          <w:i w:val="0"/>
        </w:rPr>
        <w:t>Inputs</w:t>
      </w:r>
      <w:r>
        <w:t xml:space="preserve"> </w:t>
      </w:r>
      <w:r>
        <w:rPr>
          <w:b w:val="0"/>
          <w:i w:val="0"/>
        </w:rPr>
        <w:t>Laminate diffusion properties, initial moisture and its own boundary schedule</w:t>
      </w:r>
      <w:r>
        <w:t xml:space="preserve"> </w:t>
      </w:r>
      <w:r>
        <w:rPr>
          <w:b w:val="0"/>
          <w:i w:val="0"/>
        </w:rPr>
        <w:t>Results / handoff</w:t>
      </w:r>
      <w:r>
        <w:t xml:space="preserve"> </w:t>
      </w:r>
      <w:r>
        <w:rPr>
          <w:b w:val="0"/>
          <w:i w:val="0"/>
        </w:rPr>
        <w:t>Moisture history and enabled swelling contribution</w:t>
      </w:r>
    </w:p>
    <w:p>
      <w:pPr/>
      <w:r>
        <w:rPr>
          <w:b w:val="0"/>
          <w:i w:val="0"/>
        </w:rPr>
        <w:t>One formulation per moisture analysis. Thermal and moisture analyses can both be linked in Simulation; each needs its own boundary conditions.</w:t>
      </w:r>
    </w:p>
    <w:p>
      <w:pPr>
        <w:keepNext/>
      </w:pPr>
      <w:r>
        <w:rPr>
          <w:b/>
          <w:i w:val="0"/>
        </w:rPr>
        <w:t>Formulations and study choices</w:t>
      </w:r>
    </w:p>
    <w:p>
      <w:pPr>
        <w:pStyle w:val="ListBullet"/>
      </w:pPr>
      <w:r>
        <w:rPr>
          <w:b w:val="0"/>
          <w:i w:val="0"/>
        </w:rPr>
        <w:t>1D transient moisture diffusion</w:t>
      </w:r>
    </w:p>
    <w:p>
      <w:pPr>
        <w:pStyle w:val="ListBullet"/>
      </w:pPr>
      <w:r>
        <w:rPr>
          <w:b w:val="0"/>
          <w:i w:val="0"/>
        </w:rPr>
        <w:t>1D steady-state moisture diffusion</w:t>
      </w:r>
    </w:p>
    <w:p>
      <w:hyperlink r:id="rId20">
        <w:r>
          <w:rPr>
            <w:color w:val="176EA4"/>
          </w:rPr>
          <w:t>∑ Theory &amp; assumptions</w:t>
        </w:r>
      </w:hyperlink>
      <w:r>
        <w:t xml:space="preserve"> </w:t>
      </w:r>
    </w:p>
    <w:p>
      <w:hyperlink r:id="rId21">
        <w:r>
          <w:rPr>
            <w:color w:val="176EA4"/>
          </w:rPr>
          <w:t>Guided exercise &amp; two-layer workflow </w:t>
        </w:r>
      </w:hyperlink>
      <w:r>
        <w:t xml:space="preserve"> </w:t>
      </w:r>
    </w:p>
    <w:p>
      <w:pPr>
        <w:keepNext/>
      </w:pPr>
      <w:r>
        <w:rPr>
          <w:b/>
          <w:i w:val="0"/>
        </w:rPr>
        <w:t xml:space="preserve">∑ </w:t>
      </w:r>
      <w:r>
        <w:rPr>
          <w:b/>
          <w:i w:val="0"/>
        </w:rPr>
        <w:t xml:space="preserve"> </w:t>
      </w:r>
      <w:r>
        <w:rPr>
          <w:b/>
          <w:i w:val="0"/>
        </w:rPr>
        <w:t>Plate · CLT &amp; FSDT</w:t>
      </w:r>
    </w:p>
    <w:p>
      <w:pPr/>
      <w:r>
        <w:rPr>
          <w:b w:val="0"/>
          <w:i w:val="0"/>
        </w:rPr>
        <w:t>Structural models → Laminate mechanics · CLT / FSDT</w:t>
      </w:r>
    </w:p>
    <w:p>
      <w:r>
        <w:rPr>
          <w:b w:val="0"/>
          <w:i w:val="0"/>
        </w:rPr>
        <w:t>Inputs</w:t>
      </w:r>
      <w:r>
        <w:t xml:space="preserve"> </w:t>
      </w:r>
      <w:r>
        <w:rPr>
          <w:b w:val="0"/>
          <w:i w:val="0"/>
        </w:rPr>
        <w:t>Laminate stiffness, finite plate dimensions, supported edges and study choice</w:t>
      </w:r>
      <w:r>
        <w:t xml:space="preserve"> </w:t>
      </w:r>
      <w:r>
        <w:rPr>
          <w:b w:val="0"/>
          <w:i w:val="0"/>
        </w:rPr>
        <w:t>Results / handoff</w:t>
      </w:r>
      <w:r>
        <w:t xml:space="preserve"> </w:t>
      </w:r>
      <w:r>
        <w:rPr>
          <w:b w:val="0"/>
          <w:i w:val="0"/>
        </w:rPr>
        <w:t>FSDT static bending or selected buckling / modal results; not progressive damage</w:t>
      </w:r>
    </w:p>
    <w:p>
      <w:pPr/>
      <w:r>
        <w:rPr>
          <w:b w:val="0"/>
          <w:i w:val="0"/>
        </w:rPr>
        <w:t>Choose a formulation and study. Buckling and modal can be requested together; static bending requires FSDT. These are reference-elastic studies, separate from coupled process or progressive failure.</w:t>
      </w:r>
    </w:p>
    <w:p>
      <w:pPr>
        <w:keepNext/>
      </w:pPr>
      <w:r>
        <w:rPr>
          <w:b/>
          <w:i w:val="0"/>
        </w:rPr>
        <w:t>Formulations and study choices</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hyperlink r:id="rId22">
        <w:r>
          <w:rPr>
            <w:color w:val="176EA4"/>
          </w:rPr>
          <w:t>∑ Theory &amp; assumptions</w:t>
        </w:r>
      </w:hyperlink>
      <w:r>
        <w:t xml:space="preserve"> </w:t>
      </w:r>
    </w:p>
    <w:p>
      <w:hyperlink r:id="rId23">
        <w:r>
          <w:rPr>
            <w:color w:val="176EA4"/>
          </w:rPr>
          <w:t>Guided exercise &amp; two-layer workflow </w:t>
        </w:r>
      </w:hyperlink>
      <w:r>
        <w:t xml:space="preserve"> </w:t>
      </w:r>
    </w:p>
    <w:p>
      <w:pPr>
        <w:keepNext/>
      </w:pPr>
      <w:r>
        <w:rPr>
          <w:b/>
          <w:i w:val="0"/>
        </w:rPr>
        <w:t xml:space="preserve">∑ </w:t>
      </w:r>
      <w:r>
        <w:rPr>
          <w:b/>
          <w:i w:val="0"/>
        </w:rPr>
        <w:t xml:space="preserve"> </w:t>
      </w:r>
      <w:r>
        <w:rPr>
          <w:b/>
          <w:i w:val="0"/>
        </w:rPr>
        <w:t>Cylinder</w:t>
      </w:r>
    </w:p>
    <w:p>
      <w:pPr/>
      <w:r>
        <w:rPr>
          <w:b w:val="0"/>
          <w:i w:val="0"/>
        </w:rPr>
        <w:t>Structural models → Cylinder models</w:t>
      </w:r>
    </w:p>
    <w:p>
      <w:r>
        <w:rPr>
          <w:b w:val="0"/>
          <w:i w:val="0"/>
        </w:rPr>
        <w:t>Inputs</w:t>
      </w:r>
      <w:r>
        <w:t xml:space="preserve"> </w:t>
      </w:r>
      <w:r>
        <w:rPr>
          <w:b w:val="0"/>
          <w:i w:val="0"/>
        </w:rPr>
        <w:t>Laminate, cylinder dimensions and formulation-compatible pressure / axial loading</w:t>
      </w:r>
      <w:r>
        <w:t xml:space="preserve"> </w:t>
      </w:r>
      <w:r>
        <w:rPr>
          <w:b w:val="0"/>
          <w:i w:val="0"/>
        </w:rPr>
        <w:t>Results / handoff</w:t>
      </w:r>
      <w:r>
        <w:t xml:space="preserve"> </w:t>
      </w:r>
      <w:r>
        <w:rPr>
          <w:b w:val="0"/>
          <w:i w:val="0"/>
        </w:rPr>
        <w:t>Thin-wall membrane response or layerwise radial fields, with distinct assumptions</w:t>
      </w:r>
    </w:p>
    <w:p>
      <w:pPr/>
      <w:r>
        <w:rPr>
          <w:b w:val="0"/>
          <w:i w:val="0"/>
        </w:rPr>
        <w:t>Choose one cylinder formulation per case record. Geometry and plies remain shared; thick-wall radial results exclude torsion and process strains.</w:t>
      </w:r>
    </w:p>
    <w:p>
      <w:pPr>
        <w:keepNext/>
      </w:pPr>
      <w:r>
        <w:rPr>
          <w:b/>
          <w:i w:val="0"/>
        </w:rPr>
        <w:t>Formulations and study choices</w:t>
      </w:r>
    </w:p>
    <w:p>
      <w:pPr>
        <w:pStyle w:val="ListBullet"/>
      </w:pPr>
      <w:r>
        <w:rPr>
          <w:b w:val="0"/>
          <w:i w:val="0"/>
        </w:rPr>
        <w:t>Linear thin-wall membrane</w:t>
      </w:r>
    </w:p>
    <w:p>
      <w:pPr>
        <w:pStyle w:val="ListBullet"/>
      </w:pPr>
      <w:r>
        <w:rPr>
          <w:b w:val="0"/>
          <w:i w:val="0"/>
        </w:rPr>
        <w:t>Layerwise thick-wall elasticity</w:t>
      </w:r>
    </w:p>
    <w:p>
      <w:hyperlink r:id="rId24">
        <w:r>
          <w:rPr>
            <w:color w:val="176EA4"/>
          </w:rPr>
          <w:t>∑ Theory &amp; assumptions</w:t>
        </w:r>
      </w:hyperlink>
      <w:r>
        <w:t xml:space="preserve"> </w:t>
      </w:r>
    </w:p>
    <w:p>
      <w:hyperlink r:id="rId25">
        <w:r>
          <w:rPr>
            <w:color w:val="176EA4"/>
          </w:rPr>
          <w:t>Guided exercise &amp; two-layer workflow </w:t>
        </w:r>
      </w:hyperlink>
      <w:r>
        <w:t xml:space="preserve"> </w:t>
      </w:r>
    </w:p>
    <w:p>
      <w:pPr/>
      <w:r>
        <w:rPr>
          <w:b w:val="0"/>
          <w:i w:val="0"/>
        </w:rPr>
        <w:t xml:space="preserve"> · </w:t>
      </w:r>
      <w:hyperlink r:id="rId106">
        <w:r>
          <w:rPr>
            <w:color w:val="176EA4"/>
          </w:rPr>
          <w:t>Layerwise thick-wall theory</w:t>
        </w:r>
      </w:hyperlink>
      <w:r>
        <w:t xml:space="preserve"> </w:t>
      </w:r>
    </w:p>
    <w:p>
      <w:pPr>
        <w:keepNext/>
      </w:pPr>
      <w:r>
        <w:rPr>
          <w:b/>
          <w:i w:val="0"/>
        </w:rPr>
        <w:t xml:space="preserve">∑ </w:t>
      </w:r>
      <w:r>
        <w:rPr>
          <w:b/>
          <w:i w:val="0"/>
        </w:rPr>
        <w:t xml:space="preserve"> </w:t>
      </w:r>
      <w:r>
        <w:rPr>
          <w:b/>
          <w:i w:val="0"/>
        </w:rPr>
        <w:t>Membrane, bending &amp; beam buckling</w:t>
      </w:r>
    </w:p>
    <w:p>
      <w:pPr/>
      <w:r>
        <w:rPr>
          <w:b w:val="0"/>
          <w:i w:val="0"/>
        </w:rPr>
        <w:t>Structural models → Laminate mechanics → Membrane, bending &amp; beam</w:t>
      </w:r>
    </w:p>
    <w:p>
      <w:r>
        <w:rPr>
          <w:b w:val="0"/>
          <w:i w:val="0"/>
        </w:rPr>
        <w:t>Inputs</w:t>
      </w:r>
      <w:r>
        <w:t xml:space="preserve"> </w:t>
      </w:r>
      <w:r>
        <w:rPr>
          <w:b w:val="0"/>
          <w:i w:val="0"/>
        </w:rPr>
        <w:t>Laminate, compatible section and static or Euler load case</w:t>
      </w:r>
      <w:r>
        <w:t xml:space="preserve"> </w:t>
      </w:r>
      <w:r>
        <w:rPr>
          <w:b w:val="0"/>
          <w:i w:val="0"/>
        </w:rPr>
        <w:t>Results / handoff</w:t>
      </w:r>
      <w:r>
        <w:t xml:space="preserve"> </w:t>
      </w:r>
      <w:r>
        <w:rPr>
          <w:b w:val="0"/>
          <w:i w:val="0"/>
        </w:rPr>
        <w:t>Membrane / bending response or separate Euler buckling result</w:t>
      </w:r>
    </w:p>
    <w:p>
      <w:pPr/>
      <w:r>
        <w:rPr>
          <w:b w:val="0"/>
          <w:i w:val="0"/>
        </w:rPr>
        <w:t>Geometry and the case determine the membrane or beam-test interpretation. Euler buckling requires a compatible beam section and a separate reference-elastic study; it is not a strength or local-buckling pass.</w:t>
      </w:r>
    </w:p>
    <w:p>
      <w:pPr>
        <w:keepNext/>
      </w:pPr>
      <w:r>
        <w:rPr>
          <w:b/>
          <w:i w:val="0"/>
        </w:rPr>
        <w:t>Formulations and study choices</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hyperlink r:id="rId26">
        <w:r>
          <w:rPr>
            <w:color w:val="176EA4"/>
          </w:rPr>
          <w:t>∑ Theory &amp; assumptions</w:t>
        </w:r>
      </w:hyperlink>
      <w:r>
        <w:t xml:space="preserve"> </w:t>
      </w:r>
    </w:p>
    <w:p>
      <w:hyperlink r:id="rId27">
        <w:r>
          <w:rPr>
            <w:color w:val="176EA4"/>
          </w:rPr>
          <w:t>Guided exercise &amp; two-layer workflow </w:t>
        </w:r>
      </w:hyperlink>
      <w:r>
        <w:t xml:space="preserve"> </w:t>
      </w:r>
    </w:p>
    <w:p>
      <w:pPr>
        <w:keepNext/>
      </w:pPr>
      <w:r>
        <w:rPr>
          <w:b/>
          <w:i w:val="0"/>
        </w:rPr>
        <w:t xml:space="preserve">∑ </w:t>
      </w:r>
      <w:r>
        <w:rPr>
          <w:b/>
          <w:i w:val="0"/>
        </w:rPr>
        <w:t xml:space="preserve"> </w:t>
      </w:r>
      <w:r>
        <w:rPr>
          <w:b/>
          <w:i w:val="0"/>
        </w:rPr>
        <w:t>Layerwise sections, joints &amp; delamination</w:t>
      </w:r>
    </w:p>
    <w:p>
      <w:pPr/>
      <w:r>
        <w:rPr>
          <w:b w:val="0"/>
          <w:i w:val="0"/>
        </w:rPr>
        <w:t>Structural models → Layerwise sections &amp; joints</w:t>
      </w:r>
    </w:p>
    <w:p>
      <w:r>
        <w:rPr>
          <w:b w:val="0"/>
          <w:i w:val="0"/>
        </w:rPr>
        <w:t>Inputs</w:t>
      </w:r>
      <w:r>
        <w:t xml:space="preserve"> </w:t>
      </w:r>
      <w:r>
        <w:rPr>
          <w:b w:val="0"/>
          <w:i w:val="0"/>
        </w:rPr>
        <w:t>Section or lap geometry, laminate, loads and calibrated interface properties</w:t>
      </w:r>
      <w:r>
        <w:t xml:space="preserve"> </w:t>
      </w:r>
      <w:r>
        <w:rPr>
          <w:b w:val="0"/>
          <w:i w:val="0"/>
        </w:rPr>
        <w:t>Results / handoff</w:t>
      </w:r>
      <w:r>
        <w:t xml:space="preserve"> </w:t>
      </w:r>
      <w:r>
        <w:rPr>
          <w:b w:val="0"/>
          <w:i w:val="0"/>
        </w:rPr>
        <w:t>x–z fields; coupled ply damage and delamination only for the supported layerwise plate path</w:t>
      </w:r>
    </w:p>
    <w:p>
      <w:pPr/>
      <w:r>
        <w:rPr>
          <w:b w:val="0"/>
          <w:i w:val="0"/>
        </w:rPr>
        <w:t>Coupled delamination is available only for the layerwise Plate section and needs calibrated interface and ply properties. Lap-shear uses its separate joint geometry and perfectly bonded elastic formulation.</w:t>
      </w:r>
    </w:p>
    <w:p>
      <w:pPr>
        <w:keepNext/>
      </w:pPr>
      <w:r>
        <w:rPr>
          <w:b/>
          <w:i w:val="0"/>
        </w:rPr>
        <w:t>Formulations and study choices</w:t>
      </w:r>
    </w:p>
    <w:p>
      <w:pPr>
        <w:pStyle w:val="ListBullet"/>
      </w:pPr>
      <w:r>
        <w:rPr>
          <w:b w:val="0"/>
          <w:i w:val="0"/>
        </w:rPr>
        <w:t>Layerwise x-z plane strain</w:t>
      </w:r>
    </w:p>
    <w:p>
      <w:pPr>
        <w:pStyle w:val="ListBullet"/>
      </w:pPr>
      <w:r>
        <w:rPr>
          <w:b w:val="0"/>
          <w:i w:val="0"/>
        </w:rPr>
        <w:t>Single-lap x-z plane strain</w:t>
      </w:r>
    </w:p>
    <w:p>
      <w:pPr>
        <w:pStyle w:val="ListBullet"/>
      </w:pPr>
      <w:r>
        <w:rPr>
          <w:b w:val="0"/>
          <w:i w:val="0"/>
        </w:rPr>
        <w:t>Coupled delamination growth</w:t>
      </w:r>
    </w:p>
    <w:p>
      <w:hyperlink r:id="rId28">
        <w:r>
          <w:rPr>
            <w:color w:val="176EA4"/>
          </w:rPr>
          <w:t>∑ Theory &amp; assumptions</w:t>
        </w:r>
      </w:hyperlink>
      <w:r>
        <w:t xml:space="preserve"> </w:t>
      </w:r>
    </w:p>
    <w:p>
      <w:hyperlink r:id="rId29">
        <w:r>
          <w:rPr>
            <w:color w:val="176EA4"/>
          </w:rPr>
          <w:t>Guided exercise &amp; two-layer workflow </w:t>
        </w:r>
      </w:hyperlink>
      <w:r>
        <w:t xml:space="preserve"> </w:t>
      </w:r>
    </w:p>
    <w:p>
      <w:pPr/>
      <w:r>
        <w:rPr>
          <w:b w:val="0"/>
          <w:i w:val="0"/>
        </w:rPr>
        <w:t xml:space="preserve"> · </w:t>
      </w:r>
      <w:hyperlink r:id="rId107">
        <w:r>
          <w:rPr>
            <w:color w:val="176EA4"/>
          </w:rPr>
          <w:t>Cohesive interface theory</w:t>
        </w:r>
      </w:hyperlink>
      <w:r>
        <w:t xml:space="preserve"> </w:t>
      </w:r>
    </w:p>
    <w:p>
      <w:pPr>
        <w:keepNext/>
      </w:pPr>
      <w:r>
        <w:rPr>
          <w:b/>
          <w:i w:val="0"/>
        </w:rPr>
        <w:t xml:space="preserve">∑ </w:t>
      </w:r>
      <w:r>
        <w:rPr>
          <w:b/>
          <w:i w:val="0"/>
        </w:rPr>
        <w:t xml:space="preserve"> </w:t>
      </w:r>
      <w:r>
        <w:rPr>
          <w:b/>
          <w:i w:val="0"/>
        </w:rPr>
        <w:t>Sandwich bending</w:t>
      </w:r>
    </w:p>
    <w:p>
      <w:pPr/>
      <w:r>
        <w:rPr>
          <w:b w:val="0"/>
          <w:i w:val="0"/>
        </w:rPr>
        <w:t>Structural models → Sandwich bending</w:t>
      </w:r>
    </w:p>
    <w:p>
      <w:r>
        <w:rPr>
          <w:b w:val="0"/>
          <w:i w:val="0"/>
        </w:rPr>
        <w:t>Inputs</w:t>
      </w:r>
      <w:r>
        <w:t xml:space="preserve"> </w:t>
      </w:r>
      <w:r>
        <w:rPr>
          <w:b w:val="0"/>
          <w:i w:val="0"/>
        </w:rPr>
        <w:t>Faces, core, dimensions and three-point-bend load</w:t>
      </w:r>
      <w:r>
        <w:t xml:space="preserve"> </w:t>
      </w:r>
      <w:r>
        <w:rPr>
          <w:b w:val="0"/>
          <w:i w:val="0"/>
        </w:rPr>
        <w:t>Results / handoff</w:t>
      </w:r>
      <w:r>
        <w:t xml:space="preserve"> </w:t>
      </w:r>
      <w:r>
        <w:rPr>
          <w:b w:val="0"/>
          <w:i w:val="0"/>
        </w:rPr>
        <w:t>Deflection and separate face, core and nominal bond-shear screening</w:t>
      </w:r>
    </w:p>
    <w:p>
      <w:pPr/>
      <w:r>
        <w:rPr>
          <w:b w:val="0"/>
          <w:i w:val="0"/>
        </w:rPr>
        <w:t>Dedicated sandwich screening. Check core, faces and nominal bond shear separately; peel, mixed-mode debonding and crack growth are not assessed.</w:t>
      </w:r>
    </w:p>
    <w:p>
      <w:pPr>
        <w:keepNext/>
      </w:pPr>
      <w:r>
        <w:rPr>
          <w:b/>
          <w:i w:val="0"/>
        </w:rPr>
        <w:t>Formulations and study choices</w:t>
      </w:r>
    </w:p>
    <w:p>
      <w:pPr>
        <w:pStyle w:val="ListBullet"/>
      </w:pPr>
      <w:r>
        <w:rPr>
          <w:b w:val="0"/>
          <w:i w:val="0"/>
        </w:rPr>
        <w:t>Sandwich three-point bend</w:t>
      </w:r>
    </w:p>
    <w:p>
      <w:hyperlink r:id="rId28">
        <w:r>
          <w:rPr>
            <w:color w:val="176EA4"/>
          </w:rPr>
          <w:t>∑ Theory &amp; assumptions</w:t>
        </w:r>
      </w:hyperlink>
      <w:r>
        <w:t xml:space="preserve"> </w:t>
      </w:r>
    </w:p>
    <w:p>
      <w:hyperlink r:id="rId30">
        <w:r>
          <w:rPr>
            <w:color w:val="176EA4"/>
          </w:rPr>
          <w:t>Guided exercise &amp; two-layer workflow </w:t>
        </w:r>
      </w:hyperlink>
      <w:r>
        <w:t xml:space="preserve"> </w:t>
      </w:r>
    </w:p>
    <w:p>
      <w:pPr>
        <w:keepNext/>
      </w:pPr>
      <w:r>
        <w:rPr>
          <w:b/>
          <w:i w:val="0"/>
        </w:rPr>
        <w:t xml:space="preserve">∑ </w:t>
      </w:r>
      <w:r>
        <w:rPr>
          <w:b/>
          <w:i w:val="0"/>
        </w:rPr>
        <w:t xml:space="preserve"> </w:t>
      </w:r>
      <w:r>
        <w:rPr>
          <w:b/>
          <w:i w:val="0"/>
        </w:rPr>
        <w:t>Failure &amp; envelope comparison</w:t>
      </w:r>
    </w:p>
    <w:p>
      <w:pPr/>
      <w:r>
        <w:rPr>
          <w:b w:val="0"/>
          <w:i w:val="0"/>
        </w:rPr>
        <w:t>Structural models → Laminate mechanics → Failure criteria</w:t>
      </w:r>
    </w:p>
    <w:p>
      <w:r>
        <w:rPr>
          <w:b w:val="0"/>
          <w:i w:val="0"/>
        </w:rPr>
        <w:t>Inputs</w:t>
      </w:r>
      <w:r>
        <w:t xml:space="preserve"> </w:t>
      </w:r>
      <w:r>
        <w:rPr>
          <w:b w:val="0"/>
          <w:i w:val="0"/>
        </w:rPr>
        <w:t>Eligible CLT load case, strengths / strain limits and selected criterion</w:t>
      </w:r>
      <w:r>
        <w:t xml:space="preserve"> </w:t>
      </w:r>
      <w:r>
        <w:rPr>
          <w:b w:val="0"/>
          <w:i w:val="0"/>
        </w:rPr>
        <w:t>Results / handoff</w:t>
      </w:r>
      <w:r>
        <w:t xml:space="preserve"> </w:t>
      </w:r>
      <w:r>
        <w:rPr>
          <w:b w:val="0"/>
          <w:i w:val="0"/>
        </w:rPr>
        <w:t>First-ply envelopes or supported progressive ply-damage histories; criteria are not blended</w:t>
      </w:r>
    </w:p>
    <w:p>
      <w:pPr/>
      <w:r>
        <w:rPr>
          <w:b w:val="0"/>
          <w:i w:val="0"/>
        </w:rPr>
        <w:t>One primary failure criterion per load. In Response → Failure, compare all eligible theories or a custom selection in the envelope controls. Each theory runs independently; criteria are not blended.</w:t>
      </w:r>
    </w:p>
    <w:p>
      <w:pPr>
        <w:keepNext/>
      </w:pPr>
      <w:r>
        <w:rPr>
          <w:b/>
          <w:i w:val="0"/>
        </w:rPr>
        <w:t>Formulations and study choices</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hyperlink r:id="rId31">
        <w:r>
          <w:rPr>
            <w:color w:val="176EA4"/>
          </w:rPr>
          <w:t>∑ Theory &amp; assumptions</w:t>
        </w:r>
      </w:hyperlink>
      <w:r>
        <w:t xml:space="preserve"> </w:t>
      </w:r>
    </w:p>
    <w:p>
      <w:hyperlink r:id="rId32">
        <w:r>
          <w:rPr>
            <w:color w:val="176EA4"/>
          </w:rPr>
          <w:t>Guided exercise &amp; two-layer workflow </w:t>
        </w:r>
      </w:hyperlink>
      <w:r>
        <w:t xml:space="preserve"> </w:t>
      </w:r>
    </w:p>
    <w:p>
      <w:pPr/>
      <w:r>
        <w:rPr>
          <w:b w:val="0"/>
          <w:i w:val="0"/>
        </w:rPr>
        <w:t xml:space="preserve"> · </w:t>
      </w:r>
      <w:hyperlink r:id="rId108">
        <w:r>
          <w:rPr>
            <w:color w:val="176EA4"/>
          </w:rPr>
          <w:t>Failure equations</w:t>
        </w:r>
      </w:hyperlink>
      <w:r>
        <w:t xml:space="preserve"> </w:t>
      </w:r>
    </w:p>
    <w:p>
      <w:pPr/>
      <w:r>
        <w:rPr>
          <w:b w:val="0"/>
          <w:i w:val="0"/>
        </w:rPr>
        <w:t xml:space="preserve"> · </w:t>
      </w:r>
      <w:hyperlink r:id="rId109">
        <w:r>
          <w:rPr>
            <w:color w:val="176EA4"/>
          </w:rPr>
          <w:t>Implemented Workbench methods</w:t>
        </w:r>
      </w:hyperlink>
      <w:r>
        <w:t xml:space="preserve"> </w:t>
      </w:r>
    </w:p>
    <w:p>
      <w:pPr>
        <w:keepNext/>
      </w:pPr>
      <w:r>
        <w:rPr>
          <w:b/>
          <w:i w:val="0"/>
        </w:rPr>
        <w:t xml:space="preserve">∑ </w:t>
      </w:r>
      <w:r>
        <w:rPr>
          <w:b/>
          <w:i w:val="0"/>
        </w:rPr>
        <w:t xml:space="preserve"> </w:t>
      </w:r>
      <w:r>
        <w:rPr>
          <w:b/>
          <w:i w:val="0"/>
        </w:rPr>
        <w:t>Fatigue S–N</w:t>
      </w:r>
    </w:p>
    <w:p>
      <w:pPr/>
      <w:r>
        <w:rPr>
          <w:b w:val="0"/>
          <w:i w:val="0"/>
        </w:rPr>
        <w:t>Structural models → Laminate mechanics → Fatigue</w:t>
      </w:r>
    </w:p>
    <w:p>
      <w:r>
        <w:rPr>
          <w:b w:val="0"/>
          <w:i w:val="0"/>
        </w:rPr>
        <w:t>Inputs</w:t>
      </w:r>
      <w:r>
        <w:t xml:space="preserve"> </w:t>
      </w:r>
      <w:r>
        <w:rPr>
          <w:b w:val="0"/>
          <w:i w:val="0"/>
        </w:rPr>
        <w:t>Intact ply stresses, cyclic loads and measured S–N calibration</w:t>
      </w:r>
      <w:r>
        <w:t xml:space="preserve"> </w:t>
      </w:r>
      <w:r>
        <w:rPr>
          <w:b w:val="0"/>
          <w:i w:val="0"/>
        </w:rPr>
        <w:t>Results / handoff</w:t>
      </w:r>
      <w:r>
        <w:t xml:space="preserve"> </w:t>
      </w:r>
      <w:r>
        <w:rPr>
          <w:b w:val="0"/>
          <w:i w:val="0"/>
        </w:rPr>
        <w:t>Separate life assessment; no automatic laminate degradation</w:t>
      </w:r>
    </w:p>
    <w:p>
      <w:pPr/>
      <w:r>
        <w:rPr>
          <w:b w:val="0"/>
          <w:i w:val="0"/>
        </w:rPr>
        <w:t>Select calibrated S–N curves for each material, direction and stress sign in Fatigue. Different sources can use different models. S–N life does not define residual stiffness or strength.</w:t>
      </w:r>
    </w:p>
    <w:p>
      <w:pPr>
        <w:keepNext/>
      </w:pPr>
      <w:r>
        <w:rPr>
          <w:b/>
          <w:i w:val="0"/>
        </w:rPr>
        <w:t>Formulations and study choices</w:t>
      </w:r>
    </w:p>
    <w:p>
      <w:pPr>
        <w:pStyle w:val="ListBullet"/>
      </w:pPr>
      <w:r>
        <w:rPr>
          <w:b w:val="0"/>
          <w:i w:val="0"/>
        </w:rPr>
        <w:t>Kim–Zhang</w:t>
      </w:r>
    </w:p>
    <w:p>
      <w:pPr>
        <w:pStyle w:val="ListBullet"/>
      </w:pPr>
      <w:r>
        <w:rPr>
          <w:b w:val="0"/>
          <w:i w:val="0"/>
        </w:rPr>
        <w:t>Sendeckyj</w:t>
      </w:r>
    </w:p>
    <w:p>
      <w:pPr>
        <w:pStyle w:val="ListBullet"/>
      </w:pPr>
      <w:r>
        <w:rPr>
          <w:b w:val="0"/>
          <w:i w:val="0"/>
        </w:rPr>
        <w:t>Weibull S–N</w:t>
      </w:r>
    </w:p>
    <w:p>
      <w:pPr>
        <w:pStyle w:val="ListBullet"/>
      </w:pPr>
      <w:r>
        <w:rPr>
          <w:b w:val="0"/>
          <w:i w:val="0"/>
        </w:rPr>
        <w:t>Kohout–Vechet</w:t>
      </w:r>
    </w:p>
    <w:p>
      <w:pPr>
        <w:pStyle w:val="ListBullet"/>
      </w:pPr>
      <w:r>
        <w:rPr>
          <w:b w:val="0"/>
          <w:i w:val="0"/>
        </w:rPr>
        <w:t>Basquin</w:t>
      </w:r>
    </w:p>
    <w:p>
      <w:hyperlink r:id="rId13">
        <w:r>
          <w:rPr>
            <w:color w:val="176EA4"/>
          </w:rPr>
          <w:t>∑ Theory &amp; assumptions</w:t>
        </w:r>
      </w:hyperlink>
      <w:r>
        <w:t xml:space="preserve"> </w:t>
      </w:r>
    </w:p>
    <w:p>
      <w:hyperlink r:id="rId32">
        <w:r>
          <w:rPr>
            <w:color w:val="176EA4"/>
          </w:rPr>
          <w:t>Starter load case · add calibrated fatigue </w:t>
        </w:r>
      </w:hyperlink>
      <w:r>
        <w:t xml:space="preserve"> </w:t>
      </w:r>
    </w:p>
    <w:p>
      <w:pPr>
        <w:keepNext/>
      </w:pPr>
      <w:r>
        <w:rPr>
          <w:b/>
          <w:i w:val="0"/>
        </w:rPr>
        <w:t xml:space="preserve">∑ </w:t>
      </w:r>
      <w:r>
        <w:rPr>
          <w:b/>
          <w:i w:val="0"/>
        </w:rPr>
        <w:t xml:space="preserve"> </w:t>
      </w:r>
      <w:r>
        <w:rPr>
          <w:b/>
          <w:i w:val="0"/>
        </w:rPr>
        <w:t>D6641 · Compression coupon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small-strain compression using linked laminate Ex and thickness. Measured compressive strength supplies a screening ratio; fixture, tabs, buckling and failure evolution are not simulated.</w:t>
      </w:r>
    </w:p>
    <w:p>
      <w:pPr/>
      <w:r>
        <w:rPr>
          <w:b w:val="0"/>
          <w:i w:val="0"/>
        </w:rPr>
        <w:t>Uniform small-strain compression using linked laminate Ex and thickness. Measured compressive strength supplies a screening ratio; fixture, tabs, buckling and failure evolution are not simulated.</w:t>
      </w:r>
    </w:p>
    <w:p>
      <w:pPr>
        <w:keepNext/>
      </w:pPr>
      <w:r>
        <w:rPr>
          <w:b/>
          <w:i w:val="0"/>
        </w:rPr>
        <w:t>Formulations and study choices</w:t>
      </w:r>
    </w:p>
    <w:p>
      <w:pPr>
        <w:pStyle w:val="ListBullet"/>
      </w:pPr>
      <w:r>
        <w:rPr>
          <w:b w:val="0"/>
          <w:i w:val="0"/>
        </w:rPr>
        <w:t>Virtual test · compression coupon</w:t>
      </w:r>
    </w:p>
    <w:p>
      <w:hyperlink r:id="rId33">
        <w:r>
          <w:rPr>
            <w:color w:val="176EA4"/>
          </w:rPr>
          <w:t>∑ Theory &amp; assumptions</w:t>
        </w:r>
      </w:hyperlink>
      <w:r>
        <w:t xml:space="preserve"> </w:t>
      </w:r>
    </w:p>
    <w:p>
      <w:hyperlink r:id="rId34">
        <w:r>
          <w:rPr>
            <w:color w:val="176EA4"/>
          </w:rPr>
          <w:t>Guided exercise &amp; two-layer workflow </w:t>
        </w:r>
      </w:hyperlink>
      <w:r>
        <w:t xml:space="preserve"> </w:t>
      </w:r>
    </w:p>
    <w:p>
      <w:pPr>
        <w:keepNext/>
      </w:pPr>
      <w:r>
        <w:rPr>
          <w:b/>
          <w:i w:val="0"/>
        </w:rPr>
        <w:t xml:space="preserve">∑ </w:t>
      </w:r>
      <w:r>
        <w:rPr>
          <w:b/>
          <w:i w:val="0"/>
        </w:rPr>
        <w:t xml:space="preserve"> </w:t>
      </w:r>
      <w:r>
        <w:rPr>
          <w:b/>
          <w:i w:val="0"/>
        </w:rPr>
        <w:t>D5379 / D7078 · Shear coupon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r>
        <w:rPr>
          <w:b w:val="0"/>
          <w:i w:val="0"/>
        </w:rPr>
        <w:t>Uniform nominal shear between notches using linked laminate Gxy and thickness. Not a notch/fixture stress field or nonlinear shear solution. Gauge length is the effective shear deformation length, not crosshead travel.</w:t>
      </w:r>
    </w:p>
    <w:p>
      <w:pPr>
        <w:keepNext/>
      </w:pPr>
      <w:r>
        <w:rPr>
          <w:b/>
          <w:i w:val="0"/>
        </w:rPr>
        <w:t>Formulations and study choices</w:t>
      </w:r>
    </w:p>
    <w:p>
      <w:pPr>
        <w:pStyle w:val="ListBullet"/>
      </w:pPr>
      <w:r>
        <w:rPr>
          <w:b w:val="0"/>
          <w:i w:val="0"/>
        </w:rPr>
        <w:t>Virtual test · nominal shear coupon</w:t>
      </w:r>
    </w:p>
    <w:p>
      <w:hyperlink r:id="rId35">
        <w:r>
          <w:rPr>
            <w:color w:val="176EA4"/>
          </w:rPr>
          <w:t>∑ Theory &amp; assumptions</w:t>
        </w:r>
      </w:hyperlink>
      <w:r>
        <w:t xml:space="preserve"> </w:t>
      </w:r>
    </w:p>
    <w:p>
      <w:hyperlink r:id="rId36">
        <w:r>
          <w:rPr>
            <w:color w:val="176EA4"/>
          </w:rPr>
          <w:t>Guided exercise &amp; two-layer workflow </w:t>
        </w:r>
      </w:hyperlink>
      <w:r>
        <w:t xml:space="preserve"> </w:t>
      </w:r>
    </w:p>
    <w:p>
      <w:pPr>
        <w:keepNext/>
      </w:pPr>
      <w:r>
        <w:rPr>
          <w:b/>
          <w:i w:val="0"/>
        </w:rPr>
        <w:t xml:space="preserve">∑ </w:t>
      </w:r>
      <w:r>
        <w:rPr>
          <w:b/>
          <w:i w:val="0"/>
        </w:rPr>
        <w:t xml:space="preserve"> </w:t>
      </w:r>
      <w:r>
        <w:rPr>
          <w:b/>
          <w:i w:val="0"/>
        </w:rPr>
        <w:t>D5528 · DCB opening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r>
        <w:rPr>
          <w:b w:val="0"/>
          <w:i w:val="0"/>
        </w:rPr>
        <w:t>Ideal Euler–Bernoulli DCB with equal homogeneous 0° arms, each half the linked laminate thickness. No root rotation, shear, large displacement or cohesive growth. Critical load is an initiation estimate from supplied GIc.</w:t>
      </w:r>
    </w:p>
    <w:p>
      <w:pPr>
        <w:keepNext/>
      </w:pPr>
      <w:r>
        <w:rPr>
          <w:b/>
          <w:i w:val="0"/>
        </w:rPr>
        <w:t>Formulations and study choices</w:t>
      </w:r>
    </w:p>
    <w:p>
      <w:pPr>
        <w:pStyle w:val="ListBullet"/>
      </w:pPr>
      <w:r>
        <w:rPr>
          <w:b w:val="0"/>
          <w:i w:val="0"/>
        </w:rPr>
        <w:t>Virtual test · DCB beam compliance</w:t>
      </w:r>
    </w:p>
    <w:p>
      <w:hyperlink r:id="rId37">
        <w:r>
          <w:rPr>
            <w:color w:val="176EA4"/>
          </w:rPr>
          <w:t>∑ Theory &amp; assumptions</w:t>
        </w:r>
      </w:hyperlink>
      <w:r>
        <w:t xml:space="preserve"> </w:t>
      </w:r>
    </w:p>
    <w:p>
      <w:hyperlink r:id="rId38">
        <w:r>
          <w:rPr>
            <w:color w:val="176EA4"/>
          </w:rPr>
          <w:t>Guided exercise &amp; two-layer workflow </w:t>
        </w:r>
      </w:hyperlink>
      <w:r>
        <w:t xml:space="preserve"> </w:t>
      </w:r>
    </w:p>
    <w:p>
      <w:pPr>
        <w:keepNext/>
      </w:pPr>
      <w:r>
        <w:rPr>
          <w:b/>
          <w:i w:val="0"/>
        </w:rPr>
        <w:t xml:space="preserve">∑ </w:t>
      </w:r>
      <w:r>
        <w:rPr>
          <w:b/>
          <w:i w:val="0"/>
        </w:rPr>
        <w:t xml:space="preserve"> </w:t>
      </w:r>
      <w:r>
        <w:rPr>
          <w:b/>
          <w:i w:val="0"/>
        </w:rPr>
        <w:t>D7905 · ENF sliding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r>
        <w:rPr>
          <w:b w:val="0"/>
          <w:i w:val="0"/>
        </w:rPr>
        <w:t>Ideal equal-arm, homogeneous 0° ENF beam; support span is twice the half-span. Crack must be shorter than the half-span. No shear/root correction or unstable crack growth. GIIc is supplied, not fitted automatically.</w:t>
      </w:r>
    </w:p>
    <w:p>
      <w:pPr>
        <w:keepNext/>
      </w:pPr>
      <w:r>
        <w:rPr>
          <w:b/>
          <w:i w:val="0"/>
        </w:rPr>
        <w:t>Formulations and study choices</w:t>
      </w:r>
    </w:p>
    <w:p>
      <w:pPr>
        <w:pStyle w:val="ListBullet"/>
      </w:pPr>
      <w:r>
        <w:rPr>
          <w:b w:val="0"/>
          <w:i w:val="0"/>
        </w:rPr>
        <w:t>Virtual test · ENF beam compliance</w:t>
      </w:r>
    </w:p>
    <w:p>
      <w:hyperlink r:id="rId39">
        <w:r>
          <w:rPr>
            <w:color w:val="176EA4"/>
          </w:rPr>
          <w:t>∑ Theory &amp; assumptions</w:t>
        </w:r>
      </w:hyperlink>
      <w:r>
        <w:t xml:space="preserve"> </w:t>
      </w:r>
    </w:p>
    <w:p>
      <w:hyperlink r:id="rId40">
        <w:r>
          <w:rPr>
            <w:color w:val="176EA4"/>
          </w:rPr>
          <w:t>Guided exercise &amp; two-layer workflow </w:t>
        </w:r>
      </w:hyperlink>
      <w:r>
        <w:t xml:space="preserve"> </w:t>
      </w:r>
    </w:p>
    <w:p>
      <w:pPr>
        <w:keepNext/>
      </w:pPr>
      <w:r>
        <w:rPr>
          <w:b/>
          <w:i w:val="0"/>
        </w:rPr>
        <w:t xml:space="preserve">∑ </w:t>
      </w:r>
      <w:r>
        <w:rPr>
          <w:b/>
          <w:i w:val="0"/>
        </w:rPr>
        <w:t xml:space="preserve"> </w:t>
      </w:r>
      <w:r>
        <w:rPr>
          <w:b/>
          <w:i w:val="0"/>
        </w:rPr>
        <w:t>D6671 · Mixed-mode fracture envelope</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r>
        <w:rPr>
          <w:b w:val="0"/>
          <w:i w:val="0"/>
        </w:rPr>
        <w:t>Benzeggagh–Kenane envelope from calibrated GIc, GIIc and exponent. Supplied GI/GII are energy-release rates from a separate test reduction or analysis. This does not resolve the MMB lever fixture or propagate a crack.</w:t>
      </w:r>
    </w:p>
    <w:p>
      <w:pPr>
        <w:keepNext/>
      </w:pPr>
      <w:r>
        <w:rPr>
          <w:b/>
          <w:i w:val="0"/>
        </w:rPr>
        <w:t>Formulations and study choices</w:t>
      </w:r>
    </w:p>
    <w:p>
      <w:pPr>
        <w:pStyle w:val="ListBullet"/>
      </w:pPr>
      <w:r>
        <w:rPr>
          <w:b w:val="0"/>
          <w:i w:val="0"/>
        </w:rPr>
        <w:t>Virtual test · BK mixed-mode envelope</w:t>
      </w:r>
    </w:p>
    <w:p>
      <w:hyperlink r:id="rId41">
        <w:r>
          <w:rPr>
            <w:color w:val="176EA4"/>
          </w:rPr>
          <w:t>∑ Theory &amp; assumptions</w:t>
        </w:r>
      </w:hyperlink>
      <w:r>
        <w:t xml:space="preserve"> </w:t>
      </w:r>
    </w:p>
    <w:p>
      <w:hyperlink r:id="rId42">
        <w:r>
          <w:rPr>
            <w:color w:val="176EA4"/>
          </w:rPr>
          <w:t>Guided exercise &amp; two-layer workflow </w:t>
        </w:r>
      </w:hyperlink>
      <w:r>
        <w:t xml:space="preserve"> </w:t>
      </w:r>
    </w:p>
    <w:p>
      <w:pPr>
        <w:keepNext/>
      </w:pPr>
      <w:r>
        <w:rPr>
          <w:b/>
          <w:i w:val="0"/>
        </w:rPr>
        <w:t xml:space="preserve">∑ </w:t>
      </w:r>
      <w:r>
        <w:rPr>
          <w:b/>
          <w:i w:val="0"/>
        </w:rPr>
        <w:t xml:space="preserve"> </w:t>
      </w:r>
      <w:r>
        <w:rPr>
          <w:b/>
          <w:i w:val="0"/>
        </w:rPr>
        <w:t>D5229 · Moisture uptake calibration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keepNext/>
      </w:pPr>
      <w:r>
        <w:rPr>
          <w:b/>
          <w:i w:val="0"/>
        </w:rPr>
        <w:t>Formulations and study choices</w:t>
      </w:r>
    </w:p>
    <w:p>
      <w:pPr>
        <w:pStyle w:val="ListBullet"/>
      </w:pPr>
      <w:r>
        <w:rPr>
          <w:b w:val="0"/>
          <w:i w:val="0"/>
        </w:rPr>
        <w:t>Virtual test · Fickian uptake calibration</w:t>
      </w:r>
    </w:p>
    <w:p>
      <w:hyperlink r:id="rId43">
        <w:r>
          <w:rPr>
            <w:color w:val="176EA4"/>
          </w:rPr>
          <w:t>∑ Theory &amp; assumptions</w:t>
        </w:r>
      </w:hyperlink>
      <w:r>
        <w:t xml:space="preserve"> </w:t>
      </w:r>
    </w:p>
    <w:p>
      <w:hyperlink r:id="rId44">
        <w:r>
          <w:rPr>
            <w:color w:val="176EA4"/>
          </w:rPr>
          <w:t>Guided exercise &amp; two-layer workflow </w:t>
        </w:r>
      </w:hyperlink>
      <w:r>
        <w:t xml:space="preserve"> </w:t>
      </w:r>
    </w:p>
    <w:p>
      <w:pPr>
        <w:keepNext/>
      </w:pPr>
      <w:r>
        <w:rPr>
          <w:b/>
          <w:i w:val="0"/>
        </w:rPr>
        <w:t xml:space="preserve">∑ </w:t>
      </w:r>
      <w:r>
        <w:rPr>
          <w:b/>
          <w:i w:val="0"/>
        </w:rPr>
        <w:t xml:space="preserve"> </w:t>
      </w:r>
      <w:r>
        <w:rPr>
          <w:b/>
          <w:i w:val="0"/>
        </w:rPr>
        <w:t>D5961 · Bearing / bypass screening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keepNext/>
      </w:pPr>
      <w:r>
        <w:rPr>
          <w:b/>
          <w:i w:val="0"/>
        </w:rPr>
        <w:t>Formulations and study choices</w:t>
      </w:r>
    </w:p>
    <w:p>
      <w:pPr>
        <w:pStyle w:val="ListBullet"/>
      </w:pPr>
      <w:r>
        <w:rPr>
          <w:b w:val="0"/>
          <w:i w:val="0"/>
        </w:rPr>
        <w:t>Virtual test · bearing bypass screening</w:t>
      </w:r>
    </w:p>
    <w:p>
      <w:hyperlink r:id="rId45">
        <w:r>
          <w:rPr>
            <w:color w:val="176EA4"/>
          </w:rPr>
          <w:t>∑ Theory &amp; assumptions</w:t>
        </w:r>
      </w:hyperlink>
      <w:r>
        <w:t xml:space="preserve"> </w:t>
      </w:r>
    </w:p>
    <w:p>
      <w:hyperlink r:id="rId46">
        <w:r>
          <w:rPr>
            <w:color w:val="176EA4"/>
          </w:rPr>
          <w:t>Guided exercise &amp; two-layer workflow </w:t>
        </w:r>
      </w:hyperlink>
      <w:r>
        <w:t xml:space="preserve"> </w:t>
      </w:r>
    </w:p>
    <w:p>
      <w:pPr>
        <w:keepNext/>
      </w:pPr>
      <w:r>
        <w:rPr>
          <w:b/>
          <w:i w:val="0"/>
        </w:rPr>
        <w:t xml:space="preserve">∑ </w:t>
      </w:r>
      <w:r>
        <w:rPr>
          <w:b/>
          <w:i w:val="0"/>
        </w:rPr>
        <w:t xml:space="preserve"> </w:t>
      </w:r>
      <w:r>
        <w:rPr>
          <w:b/>
          <w:i w:val="0"/>
        </w:rPr>
        <w:t>D6484 · Open-hole compression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keepNext/>
      </w:pPr>
      <w:r>
        <w:rPr>
          <w:b/>
          <w:i w:val="0"/>
        </w:rPr>
        <w:t>Formulations and study choices</w:t>
      </w:r>
    </w:p>
    <w:p>
      <w:pPr>
        <w:pStyle w:val="ListBullet"/>
      </w:pPr>
      <w:r>
        <w:rPr>
          <w:b w:val="0"/>
          <w:i w:val="0"/>
        </w:rPr>
        <w:t>Virtual test · measured open-hole compression</w:t>
      </w:r>
    </w:p>
    <w:p>
      <w:hyperlink r:id="rId47">
        <w:r>
          <w:rPr>
            <w:color w:val="176EA4"/>
          </w:rPr>
          <w:t>∑ Theory &amp; assumptions</w:t>
        </w:r>
      </w:hyperlink>
      <w:r>
        <w:t xml:space="preserve"> </w:t>
      </w:r>
    </w:p>
    <w:p>
      <w:hyperlink r:id="rId48">
        <w:r>
          <w:rPr>
            <w:color w:val="176EA4"/>
          </w:rPr>
          <w:t>Guided exercise &amp; two-layer workflow </w:t>
        </w:r>
      </w:hyperlink>
      <w:r>
        <w:t xml:space="preserve"> </w:t>
      </w:r>
    </w:p>
    <w:p>
      <w:pPr>
        <w:keepNext/>
      </w:pPr>
      <w:r>
        <w:rPr>
          <w:b/>
          <w:i w:val="0"/>
        </w:rPr>
        <w:t xml:space="preserve">∑ </w:t>
      </w:r>
      <w:r>
        <w:rPr>
          <w:b/>
          <w:i w:val="0"/>
        </w:rPr>
        <w:t xml:space="preserve"> </w:t>
      </w:r>
      <w:r>
        <w:rPr>
          <w:b/>
          <w:i w:val="0"/>
        </w:rPr>
        <w:t>D6742 · Filled-hole comparison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keepNext/>
      </w:pPr>
      <w:r>
        <w:rPr>
          <w:b/>
          <w:i w:val="0"/>
        </w:rPr>
        <w:t>Formulations and study choices</w:t>
      </w:r>
    </w:p>
    <w:p>
      <w:pPr>
        <w:pStyle w:val="ListBullet"/>
      </w:pPr>
      <w:r>
        <w:rPr>
          <w:b w:val="0"/>
          <w:i w:val="0"/>
        </w:rPr>
        <w:t>Virtual test · measured filled-hole comparison</w:t>
      </w:r>
    </w:p>
    <w:p>
      <w:hyperlink r:id="rId49">
        <w:r>
          <w:rPr>
            <w:color w:val="176EA4"/>
          </w:rPr>
          <w:t>∑ Theory &amp; assumptions</w:t>
        </w:r>
      </w:hyperlink>
      <w:r>
        <w:t xml:space="preserve"> </w:t>
      </w:r>
    </w:p>
    <w:p>
      <w:hyperlink r:id="rId50">
        <w:r>
          <w:rPr>
            <w:color w:val="176EA4"/>
          </w:rPr>
          <w:t>Guided exercise &amp; two-layer workflow </w:t>
        </w:r>
      </w:hyperlink>
      <w:r>
        <w:t xml:space="preserve"> </w:t>
      </w:r>
    </w:p>
    <w:p>
      <w:pPr>
        <w:keepNext/>
      </w:pPr>
      <w:r>
        <w:rPr>
          <w:b/>
          <w:i w:val="0"/>
        </w:rPr>
        <w:t xml:space="preserve">∑ </w:t>
      </w:r>
      <w:r>
        <w:rPr>
          <w:b/>
          <w:i w:val="0"/>
        </w:rPr>
        <w:t xml:space="preserve"> </w:t>
      </w:r>
      <w:r>
        <w:rPr>
          <w:b/>
          <w:i w:val="0"/>
        </w:rPr>
        <w:t>D7136 / D7137 · Impact &amp; CAI assessment</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keepNext/>
      </w:pPr>
      <w:r>
        <w:rPr>
          <w:b/>
          <w:i w:val="0"/>
        </w:rPr>
        <w:t>Formulations and study choices</w:t>
      </w:r>
    </w:p>
    <w:p>
      <w:pPr>
        <w:pStyle w:val="ListBullet"/>
      </w:pPr>
      <w:r>
        <w:rPr>
          <w:b w:val="0"/>
          <w:i w:val="0"/>
        </w:rPr>
        <w:t>Virtual test · measured impact and CAI</w:t>
      </w:r>
    </w:p>
    <w:p>
      <w:hyperlink r:id="rId51">
        <w:r>
          <w:rPr>
            <w:color w:val="176EA4"/>
          </w:rPr>
          <w:t>∑ Theory &amp; assumptions</w:t>
        </w:r>
      </w:hyperlink>
      <w:r>
        <w:t xml:space="preserve"> </w:t>
      </w:r>
    </w:p>
    <w:p>
      <w:hyperlink r:id="rId52">
        <w:r>
          <w:rPr>
            <w:color w:val="176EA4"/>
          </w:rPr>
          <w:t>Guided exercise &amp; two-layer workflow </w:t>
        </w:r>
      </w:hyperlink>
      <w:r>
        <w:t xml:space="preserve"> </w:t>
      </w:r>
    </w:p>
    <w:p>
      <w:pPr>
        <w:keepNext/>
      </w:pPr>
      <w:r>
        <w:rPr>
          <w:b/>
          <w:i w:val="0"/>
        </w:rPr>
        <w:t xml:space="preserve">∑ </w:t>
      </w:r>
      <w:r>
        <w:rPr>
          <w:b/>
          <w:i w:val="0"/>
        </w:rPr>
        <w:t xml:space="preserve"> </w:t>
      </w:r>
      <w:r>
        <w:rPr>
          <w:b/>
          <w:i w:val="0"/>
        </w:rPr>
        <w:t>Open-hole strength</w:t>
      </w:r>
    </w:p>
    <w:p>
      <w:pPr/>
      <w:r>
        <w:rPr>
          <w:b w:val="0"/>
          <w:i w:val="0"/>
        </w:rPr>
        <w:t>Structural models → Laminate mechanics → Failure criteria → Open-hole strength</w:t>
      </w:r>
    </w:p>
    <w:p>
      <w:r>
        <w:rPr>
          <w:b w:val="0"/>
          <w:i w:val="0"/>
        </w:rPr>
        <w:t>Inputs</w:t>
      </w:r>
      <w:r>
        <w:t xml:space="preserve"> </w:t>
      </w:r>
      <w:r>
        <w:rPr>
          <w:b w:val="0"/>
          <w:i w:val="0"/>
        </w:rPr>
        <w:t>Specially orthotropic laminate, hole radius, unnotched strength and calibrated distances</w:t>
      </w:r>
      <w:r>
        <w:t xml:space="preserve"> </w:t>
      </w:r>
      <w:r>
        <w:rPr>
          <w:b w:val="0"/>
          <w:i w:val="0"/>
        </w:rPr>
        <w:t>Results / handoff</w:t>
      </w:r>
      <w:r>
        <w:t xml:space="preserve"> </w:t>
      </w:r>
      <w:r>
        <w:rPr>
          <w:b w:val="0"/>
          <w:i w:val="0"/>
        </w:rPr>
        <w:t>Point / average stress strength screening and radial stress profile</w:t>
      </w:r>
    </w:p>
    <w:p>
      <w:pPr/>
      <w:r>
        <w:rPr>
          <w:b w:val="0"/>
          <w:i w:val="0"/>
        </w:rPr>
        <w:t>Infinite-width, specially orthotropic tension screening. Point and average stress distances must be calibrated independently for this laminate. Not compression, bearing or a joint allowable.</w:t>
      </w:r>
    </w:p>
    <w:p>
      <w:pPr>
        <w:keepNext/>
      </w:pPr>
      <w:r>
        <w:rPr>
          <w:b/>
          <w:i w:val="0"/>
        </w:rPr>
        <w:t>Formulations and study choices</w:t>
      </w:r>
    </w:p>
    <w:p>
      <w:pPr>
        <w:pStyle w:val="ListBullet"/>
      </w:pPr>
      <w:r>
        <w:rPr>
          <w:b w:val="0"/>
          <w:i w:val="0"/>
        </w:rPr>
        <w:t>Whitney–Nuismer open-hole tension</w:t>
      </w:r>
    </w:p>
    <w:p>
      <w:hyperlink r:id="rId53">
        <w:r>
          <w:rPr>
            <w:color w:val="176EA4"/>
          </w:rPr>
          <w:t>∑ Theory &amp; assumptions</w:t>
        </w:r>
      </w:hyperlink>
      <w:r>
        <w:t xml:space="preserve"> </w:t>
      </w:r>
    </w:p>
    <w:p>
      <w:hyperlink r:id="rId54">
        <w:r>
          <w:rPr>
            <w:color w:val="176EA4"/>
          </w:rPr>
          <w:t>Guided exercise &amp; two-layer workflow </w:t>
        </w:r>
      </w:hyperlink>
      <w:r>
        <w:t xml:space="preserve"> </w:t>
      </w:r>
    </w:p>
    <w:p>
      <w:pPr>
        <w:keepNext/>
      </w:pPr>
      <w:r>
        <w:rPr>
          <w:b/>
          <w:i w:val="0"/>
        </w:rPr>
        <w:t xml:space="preserve">∑ </w:t>
      </w:r>
      <w:r>
        <w:rPr>
          <w:b/>
          <w:i w:val="0"/>
        </w:rPr>
        <w:t xml:space="preserve"> </w:t>
      </w:r>
      <w:r>
        <w:rPr>
          <w:b/>
          <w:i w:val="0"/>
        </w:rPr>
        <w:t>Creep &amp; stress relaxation</w:t>
      </w:r>
    </w:p>
    <w:p>
      <w:pPr/>
      <w:r>
        <w:rPr>
          <w:b w:val="0"/>
          <w:i w:val="0"/>
        </w:rPr>
        <w:t>Structural models → Laminate mechanics → Creep &amp; stress relaxation</w:t>
      </w:r>
    </w:p>
    <w:p>
      <w:r>
        <w:rPr>
          <w:b w:val="0"/>
          <w:i w:val="0"/>
        </w:rPr>
        <w:t>Inputs</w:t>
      </w:r>
      <w:r>
        <w:t xml:space="preserve"> </w:t>
      </w:r>
      <w:r>
        <w:rPr>
          <w:b w:val="0"/>
          <w:i w:val="0"/>
        </w:rPr>
        <w:t>Laminate Ex, Prony fractions / times and held stress or strain at calibration temperature</w:t>
      </w:r>
      <w:r>
        <w:t xml:space="preserve"> </w:t>
      </w:r>
      <w:r>
        <w:rPr>
          <w:b w:val="0"/>
          <w:i w:val="0"/>
        </w:rPr>
        <w:t>Results / handoff</w:t>
      </w:r>
      <w:r>
        <w:t xml:space="preserve"> </w:t>
      </w:r>
      <w:r>
        <w:rPr>
          <w:b w:val="0"/>
          <w:i w:val="0"/>
        </w:rPr>
        <w:t>Separate axial creep and relaxation curves with time-refinement safeguards</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keepNext/>
      </w:pPr>
      <w:r>
        <w:rPr>
          <w:b/>
          <w:i w:val="0"/>
        </w:rPr>
        <w:t>Formulations and study choices</w:t>
      </w:r>
    </w:p>
    <w:p>
      <w:pPr>
        <w:pStyle w:val="ListBullet"/>
      </w:pPr>
      <w:r>
        <w:rPr>
          <w:b w:val="0"/>
          <w:i w:val="0"/>
        </w:rPr>
        <w:t>Generalized Maxwell · axial Prony</w:t>
      </w:r>
    </w:p>
    <w:p>
      <w:hyperlink r:id="rId55">
        <w:r>
          <w:rPr>
            <w:color w:val="176EA4"/>
          </w:rPr>
          <w:t>∑ Theory &amp; assumptions</w:t>
        </w:r>
      </w:hyperlink>
      <w:r>
        <w:t xml:space="preserve"> </w:t>
      </w:r>
    </w:p>
    <w:p>
      <w:hyperlink r:id="rId56">
        <w:r>
          <w:rPr>
            <w:color w:val="176EA4"/>
          </w:rPr>
          <w:t>Guided exercise &amp; two-layer workflow </w:t>
        </w:r>
      </w:hyperlink>
      <w:r>
        <w:t xml:space="preserve"> </w:t>
      </w:r>
    </w:p>
    <w:p>
      <w:pPr>
        <w:keepNext/>
      </w:pPr>
      <w:r>
        <w:rPr>
          <w:b/>
          <w:i w:val="0"/>
        </w:rPr>
        <w:t xml:space="preserve">∑ </w:t>
      </w:r>
      <w:r>
        <w:rPr>
          <w:b/>
          <w:i w:val="0"/>
        </w:rPr>
        <w:t xml:space="preserve"> </w:t>
      </w:r>
      <w:r>
        <w:rPr>
          <w:b/>
          <w:i w:val="0"/>
        </w:rPr>
        <w:t>Analytical bonded joint</w:t>
      </w:r>
    </w:p>
    <w:p>
      <w:pPr/>
      <w:r>
        <w:rPr>
          <w:b w:val="0"/>
          <w:i w:val="0"/>
        </w:rPr>
        <w:t>Structural models → Layerwise sections &amp; joints → Analytical bonded joint</w:t>
      </w:r>
    </w:p>
    <w:p>
      <w:r>
        <w:rPr>
          <w:b w:val="0"/>
          <w:i w:val="0"/>
        </w:rPr>
        <w:t>Inputs</w:t>
      </w:r>
      <w:r>
        <w:t xml:space="preserve"> </w:t>
      </w:r>
      <w:r>
        <w:rPr>
          <w:b w:val="0"/>
          <w:i w:val="0"/>
        </w:rPr>
        <w:t>Identical equivalent-elastic adherends, adhesive, overlap, width and tensile force</w:t>
      </w:r>
      <w:r>
        <w:t xml:space="preserve"> </w:t>
      </w:r>
      <w:r>
        <w:rPr>
          <w:b w:val="0"/>
          <w:i w:val="0"/>
        </w:rPr>
        <w:t>Results / handoff</w:t>
      </w:r>
      <w:r>
        <w:t xml:space="preserve"> </w:t>
      </w:r>
      <w:r>
        <w:rPr>
          <w:b w:val="0"/>
          <w:i w:val="0"/>
        </w:rPr>
        <w:t>Volkersen shear and Goland–Reissner shear / peel; no debond growth</w:t>
      </w:r>
    </w:p>
    <w:p>
      <w:pPr/>
      <w:r>
        <w:rPr>
          <w:b w:val="0"/>
          <w:i w:val="0"/>
        </w:rPr>
        <w:t>Identical equivalent-elastic adherends, long free arms and a thin elastic adhesive. Compare shear-only Volkersen with eccentric single-lap shear and peel. Not a debonding, plasticity or strength calculation.</w:t>
      </w:r>
    </w:p>
    <w:p>
      <w:pPr>
        <w:keepNext/>
      </w:pPr>
      <w:r>
        <w:rPr>
          <w:b/>
          <w:i w:val="0"/>
        </w:rPr>
        <w:t>Formulations and study choices</w:t>
      </w:r>
    </w:p>
    <w:p>
      <w:pPr>
        <w:pStyle w:val="ListBullet"/>
      </w:pPr>
      <w:r>
        <w:rPr>
          <w:b w:val="0"/>
          <w:i w:val="0"/>
        </w:rPr>
        <w:t>Volkersen &amp; Goland–Reissner joint</w:t>
      </w:r>
    </w:p>
    <w:p>
      <w:hyperlink r:id="rId57">
        <w:r>
          <w:rPr>
            <w:color w:val="176EA4"/>
          </w:rPr>
          <w:t>∑ Theory &amp; assumptions</w:t>
        </w:r>
      </w:hyperlink>
      <w:r>
        <w:t xml:space="preserve"> </w:t>
      </w:r>
    </w:p>
    <w:p>
      <w:hyperlink r:id="rId58">
        <w:r>
          <w:rPr>
            <w:color w:val="176EA4"/>
          </w:rPr>
          <w:t>Guided exercise &amp; two-layer workflow </w:t>
        </w:r>
      </w:hyperlink>
      <w:r>
        <w:t xml:space="preserve"> </w:t>
      </w:r>
    </w:p>
    <w:p>
      <w:pPr>
        <w:keepNext/>
      </w:pPr>
      <w:r>
        <w:rPr>
          <w:b/>
          <w:i w:val="0"/>
        </w:rPr>
        <w:t xml:space="preserve">∑ </w:t>
      </w:r>
      <w:r>
        <w:rPr>
          <w:b/>
          <w:i w:val="0"/>
        </w:rPr>
        <w:t xml:space="preserve"> </w:t>
      </w:r>
      <w:r>
        <w:rPr>
          <w:b/>
          <w:i w:val="0"/>
        </w:rPr>
        <w:t>LaRC04 failure initiation</w:t>
      </w:r>
    </w:p>
    <w:p>
      <w:pPr/>
      <w:r>
        <w:rPr>
          <w:b w:val="0"/>
          <w:i w:val="0"/>
        </w:rPr>
        <w:t>Structural models → Laminate mechanics → Failure criteria → LaRC04</w:t>
      </w:r>
    </w:p>
    <w:p>
      <w:r>
        <w:rPr>
          <w:b w:val="0"/>
          <w:i w:val="0"/>
        </w:rPr>
        <w:t>Inputs</w:t>
      </w:r>
      <w:r>
        <w:t xml:space="preserve"> </w:t>
      </w:r>
      <w:r>
        <w:rPr>
          <w:b w:val="0"/>
          <w:i w:val="0"/>
        </w:rPr>
        <w:t>Laminate, membrane / bending resultants and calibrated effective ply strengths</w:t>
      </w:r>
      <w:r>
        <w:t xml:space="preserve"> </w:t>
      </w:r>
      <w:r>
        <w:rPr>
          <w:b w:val="0"/>
          <w:i w:val="0"/>
        </w:rPr>
        <w:t>Results / handoff</w:t>
      </w:r>
      <w:r>
        <w:t xml:space="preserve"> </w:t>
      </w:r>
      <w:r>
        <w:rPr>
          <w:b w:val="0"/>
          <w:i w:val="0"/>
        </w:rPr>
        <w:t>Linear-shear LaRC04 initiation indices at ply faces; no progressive degradation</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keepNext/>
      </w:pPr>
      <w:r>
        <w:rPr>
          <w:b/>
          <w:i w:val="0"/>
        </w:rPr>
        <w:t>Formulations and study choices</w:t>
      </w:r>
    </w:p>
    <w:p>
      <w:pPr>
        <w:pStyle w:val="ListBullet"/>
      </w:pPr>
      <w:r>
        <w:rPr>
          <w:b w:val="0"/>
          <w:i w:val="0"/>
        </w:rPr>
        <w:t>LaRC04 · linear shear</w:t>
      </w:r>
    </w:p>
    <w:p>
      <w:hyperlink r:id="rId59">
        <w:r>
          <w:rPr>
            <w:color w:val="176EA4"/>
          </w:rPr>
          <w:t>∑ Theory &amp; assumptions</w:t>
        </w:r>
      </w:hyperlink>
      <w:r>
        <w:t xml:space="preserve"> </w:t>
      </w:r>
    </w:p>
    <w:p>
      <w:hyperlink r:id="rId60">
        <w:r>
          <w:rPr>
            <w:color w:val="176EA4"/>
          </w:rPr>
          <w:t>Guided exercise &amp; two-layer workflow </w:t>
        </w:r>
      </w:hyperlink>
      <w:r>
        <w:t xml:space="preserve"> </w:t>
      </w:r>
    </w:p>
    <w:p>
      <w:pPr>
        <w:keepNext/>
      </w:pPr>
      <w:r>
        <w:rPr>
          <w:b/>
          <w:i w:val="0"/>
        </w:rPr>
        <w:t xml:space="preserve">∑ </w:t>
      </w:r>
      <w:r>
        <w:rPr>
          <w:b/>
          <w:i w:val="0"/>
        </w:rPr>
        <w:t xml:space="preserve"> </w:t>
      </w:r>
      <w:r>
        <w:rPr>
          <w:b/>
          <w:i w:val="0"/>
        </w:rPr>
        <w:t>Tool-release shape</w:t>
      </w:r>
    </w:p>
    <w:p>
      <w:pPr/>
      <w:r>
        <w:rPr>
          <w:b w:val="0"/>
          <w:i w:val="0"/>
        </w:rPr>
        <w:t>Structural models → Tool-release shape</w:t>
      </w:r>
    </w:p>
    <w:p>
      <w:r>
        <w:rPr>
          <w:b w:val="0"/>
          <w:i w:val="0"/>
        </w:rPr>
        <w:t>Inputs</w:t>
      </w:r>
      <w:r>
        <w:t xml:space="preserve"> </w:t>
      </w:r>
      <w:r>
        <w:rPr>
          <w:b w:val="0"/>
          <w:i w:val="0"/>
        </w:rPr>
        <w:t>Laminate and prescribed temperatures, CTE and effective post-gel shrinkage</w:t>
      </w:r>
      <w:r>
        <w:t xml:space="preserve"> </w:t>
      </w:r>
      <w:r>
        <w:rPr>
          <w:b w:val="0"/>
          <w:i w:val="0"/>
        </w:rPr>
        <w:t>Results / handoff</w:t>
      </w:r>
      <w:r>
        <w:t xml:space="preserve"> </w:t>
      </w:r>
      <w:r>
        <w:rPr>
          <w:b w:val="0"/>
          <w:i w:val="0"/>
        </w:rPr>
        <w:t>Free-release CLT curvature and separate corner spring-in estimate; not an automatic process-history handoff</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keepNext/>
      </w:pPr>
      <w:r>
        <w:rPr>
          <w:b/>
          <w:i w:val="0"/>
        </w:rPr>
        <w:t>Formulations and study choices</w:t>
      </w:r>
    </w:p>
    <w:p>
      <w:pPr>
        <w:pStyle w:val="ListBullet"/>
      </w:pPr>
      <w:r>
        <w:rPr>
          <w:b w:val="0"/>
          <w:i w:val="0"/>
        </w:rPr>
        <w:t>Free-release eigenstrain &amp; spring-in</w:t>
      </w:r>
    </w:p>
    <w:p>
      <w:hyperlink r:id="rId61">
        <w:r>
          <w:rPr>
            <w:color w:val="176EA4"/>
          </w:rPr>
          <w:t>∑ Theory &amp; assumptions</w:t>
        </w:r>
      </w:hyperlink>
      <w:r>
        <w:t xml:space="preserve"> </w:t>
      </w:r>
    </w:p>
    <w:p>
      <w:hyperlink r:id="rId62">
        <w:r>
          <w:rPr>
            <w:color w:val="176EA4"/>
          </w:rPr>
          <w:t>Guided exercise &amp; two-layer workflow </w:t>
        </w:r>
      </w:hyperlink>
      <w:r>
        <w:t xml:space="preserve"> </w:t>
      </w:r>
    </w:p>
    <w:p>
      <w:pPr>
        <w:keepNext/>
      </w:pPr>
      <w:r>
        <w:rPr>
          <w:b/>
          <w:i w:val="0"/>
        </w:rPr>
        <w:t xml:space="preserve">∑ </w:t>
      </w:r>
      <w:r>
        <w:rPr>
          <w:b/>
          <w:i w:val="0"/>
        </w:rPr>
        <w:t xml:space="preserve"> </w:t>
      </w:r>
      <w:r>
        <w:rPr>
          <w:b/>
          <w:i w:val="0"/>
        </w:rPr>
        <w:t>Fatigue residual properties</w:t>
      </w:r>
    </w:p>
    <w:p>
      <w:pPr/>
      <w:r>
        <w:rPr>
          <w:b w:val="0"/>
          <w:i w:val="0"/>
        </w:rPr>
        <w:t>Structural models → Laminate mechanics → Fatigue → Residual properties</w:t>
      </w:r>
    </w:p>
    <w:p>
      <w:r>
        <w:rPr>
          <w:b w:val="0"/>
          <w:i w:val="0"/>
        </w:rPr>
        <w:t>Inputs</w:t>
      </w:r>
      <w:r>
        <w:t xml:space="preserve"> </w:t>
      </w:r>
      <w:r>
        <w:rPr>
          <w:b w:val="0"/>
          <w:i w:val="0"/>
        </w:rPr>
        <w:t>Modulus, independently fitted stiffness / strength retention laws, life and elapsed cycles</w:t>
      </w:r>
      <w:r>
        <w:t xml:space="preserve"> </w:t>
      </w:r>
      <w:r>
        <w:rPr>
          <w:b w:val="0"/>
          <w:i w:val="0"/>
        </w:rPr>
        <w:t>Results / handoff</w:t>
      </w:r>
      <w:r>
        <w:t xml:space="preserve"> </w:t>
      </w:r>
      <w:r>
        <w:rPr>
          <w:b w:val="0"/>
          <w:i w:val="0"/>
        </w:rPr>
        <w:t>Residual-property curves for the specified constant-amplitude calibration; saved laminate is unchanged</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pPr>
        <w:keepNext/>
      </w:pPr>
      <w:r>
        <w:rPr>
          <w:b/>
          <w:i w:val="0"/>
        </w:rPr>
        <w:t>Formulations and study choices</w:t>
      </w:r>
    </w:p>
    <w:p>
      <w:pPr>
        <w:pStyle w:val="ListBullet"/>
      </w:pPr>
      <w:r>
        <w:rPr>
          <w:b w:val="0"/>
          <w:i w:val="0"/>
        </w:rPr>
        <w:t>Calibrated residual-property fatigue</w:t>
      </w:r>
    </w:p>
    <w:p>
      <w:hyperlink r:id="rId63">
        <w:r>
          <w:rPr>
            <w:color w:val="176EA4"/>
          </w:rPr>
          <w:t>∑ Theory &amp; assumptions</w:t>
        </w:r>
      </w:hyperlink>
      <w:r>
        <w:t xml:space="preserve"> </w:t>
      </w:r>
    </w:p>
    <w:p>
      <w:hyperlink r:id="rId64">
        <w:r>
          <w:rPr>
            <w:color w:val="176EA4"/>
          </w:rPr>
          <w:t>Guided exercise &amp; two-layer workflow </w:t>
        </w:r>
      </w:hyperlink>
      <w:r>
        <w:t xml:space="preserve"> </w:t>
      </w:r>
    </w:p>
    <w:p>
      <w:pPr>
        <w:keepNext/>
      </w:pPr>
      <w:r>
        <w:rPr>
          <w:b/>
          <w:i w:val="0"/>
        </w:rPr>
        <w:t xml:space="preserve">∑ </w:t>
      </w:r>
      <w:r>
        <w:rPr>
          <w:b/>
          <w:i w:val="0"/>
        </w:rPr>
        <w:t xml:space="preserve"> </w:t>
      </w:r>
      <w:r>
        <w:rPr>
          <w:b/>
          <w:i w:val="0"/>
        </w:rPr>
        <w:t>Cylinder buckling</w:t>
      </w:r>
    </w:p>
    <w:p>
      <w:pPr/>
      <w:r>
        <w:rPr>
          <w:b w:val="0"/>
          <w:i w:val="0"/>
        </w:rPr>
        <w:t>Structural models → Cylinder models → Cylinder buckling</w:t>
      </w:r>
    </w:p>
    <w:p>
      <w:r>
        <w:rPr>
          <w:b w:val="0"/>
          <w:i w:val="0"/>
        </w:rPr>
        <w:t>Inputs</w:t>
      </w:r>
      <w:r>
        <w:t xml:space="preserve"> </w:t>
      </w:r>
      <w:r>
        <w:rPr>
          <w:b w:val="0"/>
          <w:i w:val="0"/>
        </w:rPr>
        <w:t>Thin specially orthotropic shell, radius, length, axial compression and prescribed knockdown</w:t>
      </w:r>
      <w:r>
        <w:t xml:space="preserve"> </w:t>
      </w:r>
      <w:r>
        <w:rPr>
          <w:b w:val="0"/>
          <w:i w:val="0"/>
        </w:rPr>
        <w:t>Results / handoff</w:t>
      </w:r>
      <w:r>
        <w:t xml:space="preserve"> </w:t>
      </w:r>
      <w:r>
        <w:rPr>
          <w:b w:val="0"/>
          <w:i w:val="0"/>
        </w:rPr>
        <w:t>Ideal / knocked-down Donnell axial buckling and governing mode; no pressure or postbuckling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keepNext/>
      </w:pPr>
      <w:r>
        <w:rPr>
          <w:b/>
          <w:i w:val="0"/>
        </w:rPr>
        <w:t>Formulations and study choices</w:t>
      </w:r>
    </w:p>
    <w:p>
      <w:pPr>
        <w:pStyle w:val="ListBullet"/>
      </w:pPr>
      <w:r>
        <w:rPr>
          <w:b w:val="0"/>
          <w:i w:val="0"/>
        </w:rPr>
        <w:t>Donnell cylinder · axial buckling</w:t>
      </w:r>
    </w:p>
    <w:p>
      <w:hyperlink r:id="rId65">
        <w:r>
          <w:rPr>
            <w:color w:val="176EA4"/>
          </w:rPr>
          <w:t>∑ Theory &amp; assumptions</w:t>
        </w:r>
      </w:hyperlink>
      <w:r>
        <w:t xml:space="preserve"> </w:t>
      </w:r>
    </w:p>
    <w:p>
      <w:hyperlink r:id="rId66">
        <w:r>
          <w:rPr>
            <w:color w:val="176EA4"/>
          </w:rPr>
          <w:t>Guided exercise &amp; two-layer workflow </w:t>
        </w:r>
      </w:hyperlink>
      <w:r>
        <w:t xml:space="preserve"> </w:t>
      </w:r>
    </w:p>
    <w:p>
      <w:pPr>
        <w:keepNext/>
      </w:pPr>
      <w:r>
        <w:rPr>
          <w:b/>
          <w:i w:val="0"/>
        </w:rPr>
        <w:t xml:space="preserve">∑ </w:t>
      </w:r>
      <w:r>
        <w:rPr>
          <w:b/>
          <w:i w:val="0"/>
        </w:rPr>
        <w:t xml:space="preserve"> </w:t>
      </w:r>
      <w:r>
        <w:rPr>
          <w:b/>
          <w:i w:val="0"/>
        </w:rPr>
        <w:t>Uncertainty &amp; sensitivity</w:t>
      </w:r>
    </w:p>
    <w:p>
      <w:pPr/>
      <w:r>
        <w:rPr>
          <w:b w:val="0"/>
          <w:i w:val="0"/>
        </w:rPr>
        <w:t>Structural models → Uncertainty &amp; sensitivity</w:t>
      </w:r>
    </w:p>
    <w:p>
      <w:r>
        <w:rPr>
          <w:b w:val="0"/>
          <w:i w:val="0"/>
        </w:rPr>
        <w:t>Inputs</w:t>
      </w:r>
      <w:r>
        <w:t xml:space="preserve"> </w:t>
      </w:r>
      <w:r>
        <w:rPr>
          <w:b w:val="0"/>
          <w:i w:val="0"/>
        </w:rPr>
        <w:t>Laminate, bounded modulus / thickness / angle variations, seed and axial load</w:t>
      </w:r>
      <w:r>
        <w:t xml:space="preserve"> </w:t>
      </w:r>
      <w:r>
        <w:rPr>
          <w:b w:val="0"/>
          <w:i w:val="0"/>
        </w:rPr>
        <w:t>Results / handoff</w:t>
      </w:r>
      <w:r>
        <w:t xml:space="preserve"> </w:t>
      </w:r>
      <w:r>
        <w:rPr>
          <w:b w:val="0"/>
          <w:i w:val="0"/>
        </w:rPr>
        <w:t>ABD axial-strain percentiles and signed correlations; not certified reliability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keepNext/>
      </w:pPr>
      <w:r>
        <w:rPr>
          <w:b/>
          <w:i w:val="0"/>
        </w:rPr>
        <w:t>Formulations and study choices</w:t>
      </w:r>
    </w:p>
    <w:p>
      <w:pPr>
        <w:pStyle w:val="ListBullet"/>
      </w:pPr>
      <w:r>
        <w:rPr>
          <w:b w:val="0"/>
          <w:i w:val="0"/>
        </w:rPr>
        <w:t>Seeded laminate uncertainty</w:t>
      </w:r>
    </w:p>
    <w:p>
      <w:hyperlink r:id="rId67">
        <w:r>
          <w:rPr>
            <w:color w:val="176EA4"/>
          </w:rPr>
          <w:t>∑ Theory &amp; assumptions</w:t>
        </w:r>
      </w:hyperlink>
      <w:r>
        <w:t xml:space="preserve"> </w:t>
      </w:r>
    </w:p>
    <w:p>
      <w:hyperlink r:id="rId68">
        <w:r>
          <w:rPr>
            <w:color w:val="176EA4"/>
          </w:rPr>
          <w:t>Guided exercise &amp; two-layer workflow </w:t>
        </w:r>
      </w:hyperlink>
      <w:r>
        <w:t xml:space="preserve"> </w:t>
      </w:r>
    </w:p>
    <w:p>
      <w:pPr>
        <w:keepNext/>
      </w:pPr>
      <w:r>
        <w:rPr>
          <w:b/>
          <w:i w:val="0"/>
        </w:rPr>
        <w:t xml:space="preserve">∑ </w:t>
      </w:r>
      <w:r>
        <w:rPr>
          <w:b/>
          <w:i w:val="0"/>
        </w:rPr>
        <w:t xml:space="preserve"> </w:t>
      </w:r>
      <w:r>
        <w:rPr>
          <w:b/>
          <w:i w:val="0"/>
        </w:rPr>
        <w:t>Wiener series and parallel</w:t>
      </w:r>
    </w:p>
    <w:p>
      <w:pPr/>
      <w:r>
        <w:rPr>
          <w:b w:val="0"/>
          <w:i w:val="0"/>
        </w:rPr>
        <w:t>Models → Electromagnetics · RF → Wiener series and parallel</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Positive lossless dielectric bounds; complex directional estimates.</w:t>
      </w:r>
    </w:p>
    <w:p>
      <w:pPr>
        <w:keepNext/>
      </w:pPr>
      <w:r>
        <w:rPr>
          <w:b/>
          <w:i w:val="0"/>
        </w:rPr>
        <w:t>Formulations and study choices</w:t>
      </w:r>
    </w:p>
    <w:p>
      <w:pPr>
        <w:pStyle w:val="ListBullet"/>
      </w:pPr>
      <w:r>
        <w:rPr>
          <w:b w:val="0"/>
          <w:i w:val="0"/>
        </w:rPr>
        <w:t>EM · Wiener series and parallel</w:t>
      </w:r>
    </w:p>
    <w:p>
      <w:hyperlink r:id="rId69">
        <w:r>
          <w:rPr>
            <w:color w:val="176EA4"/>
          </w:rPr>
          <w:t>∑ Theory &amp; assumptions</w:t>
        </w:r>
      </w:hyperlink>
      <w:r>
        <w:t xml:space="preserve"> </w:t>
      </w:r>
    </w:p>
    <w:p>
      <w:hyperlink r:id="rId70">
        <w:r>
          <w:rPr>
            <w:color w:val="176EA4"/>
          </w:rPr>
          <w:t>Guided exercise &amp; two-layer workflow </w:t>
        </w:r>
      </w:hyperlink>
      <w:r>
        <w:t xml:space="preserve"> </w:t>
      </w:r>
    </w:p>
    <w:p>
      <w:pPr>
        <w:keepNext/>
      </w:pPr>
      <w:r>
        <w:rPr>
          <w:b/>
          <w:i w:val="0"/>
        </w:rPr>
        <w:t xml:space="preserve">∑ </w:t>
      </w:r>
      <w:r>
        <w:rPr>
          <w:b/>
          <w:i w:val="0"/>
        </w:rPr>
        <w:t xml:space="preserve"> </w:t>
      </w:r>
      <w:r>
        <w:rPr>
          <w:b/>
          <w:i w:val="0"/>
        </w:rPr>
        <w:t>Looyenga / Landau–Lifshitz–Looyenga</w:t>
      </w:r>
    </w:p>
    <w:p>
      <w:pPr/>
      <w:r>
        <w:rPr>
          <w:b w:val="0"/>
          <w:i w:val="0"/>
        </w:rPr>
        <w:t>Models → Electromagnetics · RF → Looyenga / Landau–Lifshitz–Looyenga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One cube-root mixing law, not two independent models.</w:t>
      </w:r>
    </w:p>
    <w:p>
      <w:pPr>
        <w:keepNext/>
      </w:pPr>
      <w:r>
        <w:rPr>
          <w:b/>
          <w:i w:val="0"/>
        </w:rPr>
        <w:t>Formulations and study choices</w:t>
      </w:r>
    </w:p>
    <w:p>
      <w:pPr>
        <w:pStyle w:val="ListBullet"/>
      </w:pPr>
      <w:r>
        <w:rPr>
          <w:b w:val="0"/>
          <w:i w:val="0"/>
        </w:rPr>
        <w:t>EM · Looyenga / Landau–Lifshitz–Looyenga</w:t>
      </w:r>
    </w:p>
    <w:p>
      <w:hyperlink r:id="rId71">
        <w:r>
          <w:rPr>
            <w:color w:val="176EA4"/>
          </w:rPr>
          <w:t>∑ Theory &amp; assumptions</w:t>
        </w:r>
      </w:hyperlink>
      <w:r>
        <w:t xml:space="preserve"> </w:t>
      </w:r>
    </w:p>
    <w:p>
      <w:hyperlink r:id="rId72">
        <w:r>
          <w:rPr>
            <w:color w:val="176EA4"/>
          </w:rPr>
          <w:t>Guided exercise &amp; two-layer workflow </w:t>
        </w:r>
      </w:hyperlink>
      <w:r>
        <w:t xml:space="preserve"> </w:t>
      </w:r>
    </w:p>
    <w:p>
      <w:pPr>
        <w:keepNext/>
      </w:pPr>
      <w:r>
        <w:rPr>
          <w:b/>
          <w:i w:val="0"/>
        </w:rPr>
        <w:t xml:space="preserve">∑ </w:t>
      </w:r>
      <w:r>
        <w:rPr>
          <w:b/>
          <w:i w:val="0"/>
        </w:rPr>
        <w:t xml:space="preserve"> </w:t>
      </w:r>
      <w:r>
        <w:rPr>
          <w:b/>
          <w:i w:val="0"/>
        </w:rPr>
        <w:t>Maxwell–Garnett</w:t>
      </w:r>
    </w:p>
    <w:p>
      <w:pPr/>
      <w:r>
        <w:rPr>
          <w:b w:val="0"/>
          <w:i w:val="0"/>
        </w:rPr>
        <w:t>Models → Electromagnetics · RF → Maxwell–Garnett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Dilute subwavelength spherical inclusions in a host.</w:t>
      </w:r>
    </w:p>
    <w:p>
      <w:pPr>
        <w:keepNext/>
      </w:pPr>
      <w:r>
        <w:rPr>
          <w:b/>
          <w:i w:val="0"/>
        </w:rPr>
        <w:t>Formulations and study choices</w:t>
      </w:r>
    </w:p>
    <w:p>
      <w:pPr>
        <w:pStyle w:val="ListBullet"/>
      </w:pPr>
      <w:r>
        <w:rPr>
          <w:b w:val="0"/>
          <w:i w:val="0"/>
        </w:rPr>
        <w:t>EM · Maxwell–Garnett</w:t>
      </w:r>
    </w:p>
    <w:p>
      <w:hyperlink r:id="rId73">
        <w:r>
          <w:rPr>
            <w:color w:val="176EA4"/>
          </w:rPr>
          <w:t>∑ Theory &amp; assumptions</w:t>
        </w:r>
      </w:hyperlink>
      <w:r>
        <w:t xml:space="preserve"> </w:t>
      </w:r>
    </w:p>
    <w:p>
      <w:hyperlink r:id="rId74">
        <w:r>
          <w:rPr>
            <w:color w:val="176EA4"/>
          </w:rPr>
          <w:t>Guided exercise &amp; two-layer workflow </w:t>
        </w:r>
      </w:hyperlink>
      <w:r>
        <w:t xml:space="preserve"> </w:t>
      </w:r>
    </w:p>
    <w:p>
      <w:pPr>
        <w:keepNext/>
      </w:pPr>
      <w:r>
        <w:rPr>
          <w:b/>
          <w:i w:val="0"/>
        </w:rPr>
        <w:t xml:space="preserve">∑ </w:t>
      </w:r>
      <w:r>
        <w:rPr>
          <w:b/>
          <w:i w:val="0"/>
        </w:rPr>
        <w:t xml:space="preserve"> </w:t>
      </w:r>
      <w:r>
        <w:rPr>
          <w:b/>
          <w:i w:val="0"/>
        </w:rPr>
        <w:t>Normal-incidence laminate TMM</w:t>
      </w:r>
    </w:p>
    <w:p>
      <w:pPr/>
      <w:r>
        <w:rPr>
          <w:b w:val="0"/>
          <w:i w:val="0"/>
        </w:rPr>
        <w:t>Models → Electromagnetics · RF → Normal-incidence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r>
        <w:rPr>
          <w:b w:val="0"/>
          <w:i w:val="0"/>
        </w:rPr>
        <w:t>Coherent isotropic nonmagnetic layers between air half-spaces.</w:t>
      </w:r>
    </w:p>
    <w:p>
      <w:pPr>
        <w:keepNext/>
      </w:pPr>
      <w:r>
        <w:rPr>
          <w:b/>
          <w:i w:val="0"/>
        </w:rPr>
        <w:t>Formulations and study choices</w:t>
      </w:r>
    </w:p>
    <w:p>
      <w:pPr>
        <w:pStyle w:val="ListBullet"/>
      </w:pPr>
      <w:r>
        <w:rPr>
          <w:b w:val="0"/>
          <w:i w:val="0"/>
        </w:rPr>
        <w:t>EM · Normal-incidence laminate TMM</w:t>
      </w:r>
    </w:p>
    <w:p>
      <w:hyperlink r:id="rId75">
        <w:r>
          <w:rPr>
            <w:color w:val="176EA4"/>
          </w:rPr>
          <w:t>∑ Theory &amp; assumptions</w:t>
        </w:r>
      </w:hyperlink>
      <w:r>
        <w:t xml:space="preserve"> </w:t>
      </w:r>
    </w:p>
    <w:p>
      <w:hyperlink r:id="rId76">
        <w:r>
          <w:rPr>
            <w:color w:val="176EA4"/>
          </w:rPr>
          <w:t>Guided exercise &amp; two-layer workflow </w:t>
        </w:r>
      </w:hyperlink>
      <w:r>
        <w:t xml:space="preserve"> </w:t>
      </w:r>
    </w:p>
    <w:p>
      <w:pPr>
        <w:keepNext/>
      </w:pPr>
      <w:r>
        <w:rPr>
          <w:b/>
          <w:i w:val="0"/>
        </w:rPr>
        <w:t xml:space="preserve">∑ </w:t>
      </w:r>
      <w:r>
        <w:rPr>
          <w:b/>
          <w:i w:val="0"/>
        </w:rPr>
        <w:t xml:space="preserve"> </w:t>
      </w:r>
      <w:r>
        <w:rPr>
          <w:b/>
          <w:i w:val="0"/>
        </w:rPr>
        <w:t>Bruggeman symmetric EMT</w:t>
      </w:r>
    </w:p>
    <w:p>
      <w:pPr/>
      <w:r>
        <w:rPr>
          <w:b w:val="0"/>
          <w:i w:val="0"/>
        </w:rPr>
        <w:t>Models → Electromagnetics · RF → Bruggeman symmetric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Two positive-permittivity phases; no explicit contact network.</w:t>
      </w:r>
    </w:p>
    <w:p>
      <w:pPr>
        <w:keepNext/>
      </w:pPr>
      <w:r>
        <w:rPr>
          <w:b/>
          <w:i w:val="0"/>
        </w:rPr>
        <w:t>Formulations and study choices</w:t>
      </w:r>
    </w:p>
    <w:p>
      <w:pPr>
        <w:pStyle w:val="ListBullet"/>
      </w:pPr>
      <w:r>
        <w:rPr>
          <w:b w:val="0"/>
          <w:i w:val="0"/>
        </w:rPr>
        <w:t>EM · Bruggeman symmetric EMT</w:t>
      </w:r>
    </w:p>
    <w:p>
      <w:hyperlink r:id="rId77">
        <w:r>
          <w:rPr>
            <w:color w:val="176EA4"/>
          </w:rPr>
          <w:t>∑ Theory &amp; assumptions</w:t>
        </w:r>
      </w:hyperlink>
      <w:r>
        <w:t xml:space="preserve"> </w:t>
      </w:r>
    </w:p>
    <w:p>
      <w:hyperlink r:id="rId78">
        <w:r>
          <w:rPr>
            <w:color w:val="176EA4"/>
          </w:rPr>
          <w:t>Guided exercise &amp; two-layer workflow </w:t>
        </w:r>
      </w:hyperlink>
      <w:r>
        <w:t xml:space="preserve"> </w:t>
      </w:r>
    </w:p>
    <w:p>
      <w:pPr>
        <w:keepNext/>
      </w:pPr>
      <w:r>
        <w:rPr>
          <w:b/>
          <w:i w:val="0"/>
        </w:rPr>
        <w:t xml:space="preserve">∑ </w:t>
      </w:r>
      <w:r>
        <w:rPr>
          <w:b/>
          <w:i w:val="0"/>
        </w:rPr>
        <w:t xml:space="preserve"> </w:t>
      </w:r>
      <w:r>
        <w:rPr>
          <w:b/>
          <w:i w:val="0"/>
        </w:rPr>
        <w:t>EM Mori–Tanaka</w:t>
      </w:r>
    </w:p>
    <w:p>
      <w:pPr/>
      <w:r>
        <w:rPr>
          <w:b w:val="0"/>
          <w:i w:val="0"/>
        </w:rPr>
        <w:t>Models → Electromagnetics · RF → EM Mori–Tanaka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Scalar principal-axis ellipsoidal field approximation.</w:t>
      </w:r>
    </w:p>
    <w:p>
      <w:pPr>
        <w:keepNext/>
      </w:pPr>
      <w:r>
        <w:rPr>
          <w:b/>
          <w:i w:val="0"/>
        </w:rPr>
        <w:t>Formulations and study choices</w:t>
      </w:r>
    </w:p>
    <w:p>
      <w:pPr>
        <w:pStyle w:val="ListBullet"/>
      </w:pPr>
      <w:r>
        <w:rPr>
          <w:b w:val="0"/>
          <w:i w:val="0"/>
        </w:rPr>
        <w:t>EM · EM Mori–Tanaka</w:t>
      </w:r>
    </w:p>
    <w:p>
      <w:hyperlink r:id="rId79">
        <w:r>
          <w:rPr>
            <w:color w:val="176EA4"/>
          </w:rPr>
          <w:t>∑ Theory &amp; assumptions</w:t>
        </w:r>
      </w:hyperlink>
      <w:r>
        <w:t xml:space="preserve"> </w:t>
      </w:r>
    </w:p>
    <w:p>
      <w:hyperlink r:id="rId80">
        <w:r>
          <w:rPr>
            <w:color w:val="176EA4"/>
          </w:rPr>
          <w:t>Guided exercise &amp; two-layer workflow </w:t>
        </w:r>
      </w:hyperlink>
      <w:r>
        <w:t xml:space="preserve"> </w:t>
      </w:r>
    </w:p>
    <w:p>
      <w:pPr>
        <w:keepNext/>
      </w:pPr>
      <w:r>
        <w:rPr>
          <w:b/>
          <w:i w:val="0"/>
        </w:rPr>
        <w:t xml:space="preserve">∑ </w:t>
      </w:r>
      <w:r>
        <w:rPr>
          <w:b/>
          <w:i w:val="0"/>
        </w:rPr>
        <w:t xml:space="preserve"> </w:t>
      </w:r>
      <w:r>
        <w:rPr>
          <w:b/>
          <w:i w:val="0"/>
        </w:rPr>
        <w:t>EM self-consistent</w:t>
      </w:r>
    </w:p>
    <w:p>
      <w:pPr/>
      <w:r>
        <w:rPr>
          <w:b w:val="0"/>
          <w:i w:val="0"/>
        </w:rPr>
        <w:t>Models → Electromagnetics · RF → EM self-consistent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Scalar principal-axis self-consistency; spherical case equals Bruggeman.</w:t>
      </w:r>
    </w:p>
    <w:p>
      <w:pPr>
        <w:keepNext/>
      </w:pPr>
      <w:r>
        <w:rPr>
          <w:b/>
          <w:i w:val="0"/>
        </w:rPr>
        <w:t>Formulations and study choices</w:t>
      </w:r>
    </w:p>
    <w:p>
      <w:pPr>
        <w:pStyle w:val="ListBullet"/>
      </w:pPr>
      <w:r>
        <w:rPr>
          <w:b w:val="0"/>
          <w:i w:val="0"/>
        </w:rPr>
        <w:t>EM · EM self-consistent</w:t>
      </w:r>
    </w:p>
    <w:p>
      <w:hyperlink r:id="rId81">
        <w:r>
          <w:rPr>
            <w:color w:val="176EA4"/>
          </w:rPr>
          <w:t>∑ Theory &amp; assumptions</w:t>
        </w:r>
      </w:hyperlink>
      <w:r>
        <w:t xml:space="preserve"> </w:t>
      </w:r>
    </w:p>
    <w:p>
      <w:hyperlink r:id="rId82">
        <w:r>
          <w:rPr>
            <w:color w:val="176EA4"/>
          </w:rPr>
          <w:t>Guided exercise &amp; two-layer workflow </w:t>
        </w:r>
      </w:hyperlink>
      <w:r>
        <w:t xml:space="preserve"> </w:t>
      </w:r>
    </w:p>
    <w:p>
      <w:pPr>
        <w:keepNext/>
      </w:pPr>
      <w:r>
        <w:rPr>
          <w:b/>
          <w:i w:val="0"/>
        </w:rPr>
        <w:t xml:space="preserve">∑ </w:t>
      </w:r>
      <w:r>
        <w:rPr>
          <w:b/>
          <w:i w:val="0"/>
        </w:rPr>
        <w:t xml:space="preserve"> </w:t>
      </w:r>
      <w:r>
        <w:rPr>
          <w:b/>
          <w:i w:val="0"/>
        </w:rPr>
        <w:t>Differential effective medium</w:t>
      </w:r>
    </w:p>
    <w:p>
      <w:pPr/>
      <w:r>
        <w:rPr>
          <w:b w:val="0"/>
          <w:i w:val="0"/>
        </w:rPr>
        <w:t>Models → Electromagnetics · RF → Differential effective medium</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Incremental mixing with time-step refinement check.</w:t>
      </w:r>
    </w:p>
    <w:p>
      <w:pPr>
        <w:keepNext/>
      </w:pPr>
      <w:r>
        <w:rPr>
          <w:b/>
          <w:i w:val="0"/>
        </w:rPr>
        <w:t>Formulations and study choices</w:t>
      </w:r>
    </w:p>
    <w:p>
      <w:pPr>
        <w:pStyle w:val="ListBullet"/>
      </w:pPr>
      <w:r>
        <w:rPr>
          <w:b w:val="0"/>
          <w:i w:val="0"/>
        </w:rPr>
        <w:t>EM · Differential effective medium</w:t>
      </w:r>
    </w:p>
    <w:p>
      <w:hyperlink r:id="rId83">
        <w:r>
          <w:rPr>
            <w:color w:val="176EA4"/>
          </w:rPr>
          <w:t>∑ Theory &amp; assumptions</w:t>
        </w:r>
      </w:hyperlink>
      <w:r>
        <w:t xml:space="preserve"> </w:t>
      </w:r>
    </w:p>
    <w:p>
      <w:hyperlink r:id="rId84">
        <w:r>
          <w:rPr>
            <w:color w:val="176EA4"/>
          </w:rPr>
          <w:t>Guided exercise &amp; two-layer workflow </w:t>
        </w:r>
      </w:hyperlink>
      <w:r>
        <w:t xml:space="preserve"> </w:t>
      </w:r>
    </w:p>
    <w:p>
      <w:pPr>
        <w:keepNext/>
      </w:pPr>
      <w:r>
        <w:rPr>
          <w:b/>
          <w:i w:val="0"/>
        </w:rPr>
        <w:t xml:space="preserve">∑ </w:t>
      </w:r>
      <w:r>
        <w:rPr>
          <w:b/>
          <w:i w:val="0"/>
        </w:rPr>
        <w:t xml:space="preserve"> </w:t>
      </w:r>
      <w:r>
        <w:rPr>
          <w:b/>
          <w:i w:val="0"/>
        </w:rPr>
        <w:t>Coated sphere and interphase</w:t>
      </w:r>
    </w:p>
    <w:p>
      <w:pPr/>
      <w:r>
        <w:rPr>
          <w:b w:val="0"/>
          <w:i w:val="0"/>
        </w:rPr>
        <w:t>Models → Electromagnetics · RF → Coated sphere and interphase</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Concentric subwavelength coated spheres; no dynamic Mie scattering.</w:t>
      </w:r>
    </w:p>
    <w:p>
      <w:pPr>
        <w:keepNext/>
      </w:pPr>
      <w:r>
        <w:rPr>
          <w:b/>
          <w:i w:val="0"/>
        </w:rPr>
        <w:t>Formulations and study choices</w:t>
      </w:r>
    </w:p>
    <w:p>
      <w:pPr>
        <w:pStyle w:val="ListBullet"/>
      </w:pPr>
      <w:r>
        <w:rPr>
          <w:b w:val="0"/>
          <w:i w:val="0"/>
        </w:rPr>
        <w:t>EM · Coated sphere and interphase</w:t>
      </w:r>
    </w:p>
    <w:p>
      <w:hyperlink r:id="rId85">
        <w:r>
          <w:rPr>
            <w:color w:val="176EA4"/>
          </w:rPr>
          <w:t>∑ Theory &amp; assumptions</w:t>
        </w:r>
      </w:hyperlink>
      <w:r>
        <w:t xml:space="preserve"> </w:t>
      </w:r>
    </w:p>
    <w:p>
      <w:hyperlink r:id="rId86">
        <w:r>
          <w:rPr>
            <w:color w:val="176EA4"/>
          </w:rPr>
          <w:t>Guided exercise &amp; two-layer workflow </w:t>
        </w:r>
      </w:hyperlink>
      <w:r>
        <w:t xml:space="preserve"> </w:t>
      </w:r>
    </w:p>
    <w:p>
      <w:pPr>
        <w:keepNext/>
      </w:pPr>
      <w:r>
        <w:rPr>
          <w:b/>
          <w:i w:val="0"/>
        </w:rPr>
        <w:t xml:space="preserve">∑ </w:t>
      </w:r>
      <w:r>
        <w:rPr>
          <w:b/>
          <w:i w:val="0"/>
        </w:rPr>
        <w:t xml:space="preserve"> </w:t>
      </w:r>
      <w:r>
        <w:rPr>
          <w:b/>
          <w:i w:val="0"/>
        </w:rPr>
        <w:t>Generalized multiphase EMT</w:t>
      </w:r>
    </w:p>
    <w:p>
      <w:pPr/>
      <w:r>
        <w:rPr>
          <w:b w:val="0"/>
          <w:i w:val="0"/>
        </w:rPr>
        <w:t>Models → Electromagnetics · RF → Generalized multiphase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Spherical multiphase Bruggeman with convergence checks.</w:t>
      </w:r>
    </w:p>
    <w:p>
      <w:pPr>
        <w:keepNext/>
      </w:pPr>
      <w:r>
        <w:rPr>
          <w:b/>
          <w:i w:val="0"/>
        </w:rPr>
        <w:t>Formulations and study choices</w:t>
      </w:r>
    </w:p>
    <w:p>
      <w:pPr>
        <w:pStyle w:val="ListBullet"/>
      </w:pPr>
      <w:r>
        <w:rPr>
          <w:b w:val="0"/>
          <w:i w:val="0"/>
        </w:rPr>
        <w:t>EM · Generalized multiphase EMT</w:t>
      </w:r>
    </w:p>
    <w:p>
      <w:hyperlink r:id="rId87">
        <w:r>
          <w:rPr>
            <w:color w:val="176EA4"/>
          </w:rPr>
          <w:t>∑ Theory &amp; assumptions</w:t>
        </w:r>
      </w:hyperlink>
      <w:r>
        <w:t xml:space="preserve"> </w:t>
      </w:r>
    </w:p>
    <w:p>
      <w:hyperlink r:id="rId88">
        <w:r>
          <w:rPr>
            <w:color w:val="176EA4"/>
          </w:rPr>
          <w:t>Guided exercise &amp; two-layer workflow </w:t>
        </w:r>
      </w:hyperlink>
      <w:r>
        <w:t xml:space="preserve"> </w:t>
      </w:r>
    </w:p>
    <w:p>
      <w:pPr>
        <w:keepNext/>
      </w:pPr>
      <w:r>
        <w:rPr>
          <w:b/>
          <w:i w:val="0"/>
        </w:rPr>
        <w:t xml:space="preserve">∑ </w:t>
      </w:r>
      <w:r>
        <w:rPr>
          <w:b/>
          <w:i w:val="0"/>
        </w:rPr>
        <w:t xml:space="preserve"> </w:t>
      </w:r>
      <w:r>
        <w:rPr>
          <w:b/>
          <w:i w:val="0"/>
        </w:rPr>
        <w:t>Oblique polarized laminate TMM</w:t>
      </w:r>
    </w:p>
    <w:p>
      <w:pPr/>
      <w:r>
        <w:rPr>
          <w:b w:val="0"/>
          <w:i w:val="0"/>
        </w:rPr>
        <w:t>Models → Electromagnetics · RF → Oblique polarized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r>
        <w:rPr>
          <w:b w:val="0"/>
          <w:i w:val="0"/>
        </w:rPr>
        <w:t>TE or TM waves; scalar isotropic layers, no polarization conversion.</w:t>
      </w:r>
    </w:p>
    <w:p>
      <w:pPr>
        <w:keepNext/>
      </w:pPr>
      <w:r>
        <w:rPr>
          <w:b/>
          <w:i w:val="0"/>
        </w:rPr>
        <w:t>Formulations and study choices</w:t>
      </w:r>
    </w:p>
    <w:p>
      <w:pPr>
        <w:pStyle w:val="ListBullet"/>
      </w:pPr>
      <w:r>
        <w:rPr>
          <w:b w:val="0"/>
          <w:i w:val="0"/>
        </w:rPr>
        <w:t>EM · Oblique polarized laminate TMM</w:t>
      </w:r>
    </w:p>
    <w:p>
      <w:hyperlink r:id="rId89">
        <w:r>
          <w:rPr>
            <w:color w:val="176EA4"/>
          </w:rPr>
          <w:t>∑ Theory &amp; assumptions</w:t>
        </w:r>
      </w:hyperlink>
      <w:r>
        <w:t xml:space="preserve"> </w:t>
      </w:r>
    </w:p>
    <w:p>
      <w:hyperlink r:id="rId90">
        <w:r>
          <w:rPr>
            <w:color w:val="176EA4"/>
          </w:rPr>
          <w:t>Guided exercise &amp; two-layer workflow </w:t>
        </w:r>
      </w:hyperlink>
      <w:r>
        <w:t xml:space="preserve"> </w:t>
      </w:r>
    </w:p>
    <w:p>
      <w:pPr>
        <w:keepNext/>
      </w:pPr>
      <w:r>
        <w:rPr>
          <w:b/>
          <w:i w:val="0"/>
        </w:rPr>
        <w:t xml:space="preserve">∑ </w:t>
      </w:r>
      <w:r>
        <w:rPr>
          <w:b/>
          <w:i w:val="0"/>
        </w:rPr>
        <w:t xml:space="preserve"> </w:t>
      </w:r>
      <w:r>
        <w:rPr>
          <w:b/>
          <w:i w:val="0"/>
        </w:rPr>
        <w:t>1D transmission line matrix</w:t>
      </w:r>
    </w:p>
    <w:p>
      <w:pPr/>
      <w:r>
        <w:rPr>
          <w:b w:val="0"/>
          <w:i w:val="0"/>
        </w:rPr>
        <w:t>Models → Electromagnetics · RF → 1D transmission line matrix</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Reflected and transmitted pulse histories and spectra; mesh and energy checks</w:t>
      </w:r>
    </w:p>
    <w:p>
      <w:pPr/>
      <w:r>
        <w:rPr>
          <w:b w:val="0"/>
          <w:i w:val="0"/>
        </w:rPr>
        <w:t>Normal-incidence lossless delay-line mesh with pulse decay, energy and mesh-refinement safeguards. Explicit Run required; not a 3D solver.</w:t>
      </w:r>
    </w:p>
    <w:p>
      <w:pPr>
        <w:keepNext/>
      </w:pPr>
      <w:r>
        <w:rPr>
          <w:b/>
          <w:i w:val="0"/>
        </w:rPr>
        <w:t>Formulations and study choices</w:t>
      </w:r>
    </w:p>
    <w:p>
      <w:pPr>
        <w:pStyle w:val="ListBullet"/>
      </w:pPr>
      <w:r>
        <w:rPr>
          <w:b w:val="0"/>
          <w:i w:val="0"/>
        </w:rPr>
        <w:t>EM · 1D transmission line matrix</w:t>
      </w:r>
    </w:p>
    <w:p>
      <w:hyperlink r:id="rId91">
        <w:r>
          <w:rPr>
            <w:color w:val="176EA4"/>
          </w:rPr>
          <w:t>∑ Theory &amp; assumptions</w:t>
        </w:r>
      </w:hyperlink>
      <w:r>
        <w:t xml:space="preserve"> </w:t>
      </w:r>
    </w:p>
    <w:p>
      <w:hyperlink r:id="rId92">
        <w:r>
          <w:rPr>
            <w:color w:val="176EA4"/>
          </w:rPr>
          <w:t>Guided exercise &amp; two-layer workflow </w:t>
        </w:r>
      </w:hyperlink>
      <w:r>
        <w:t xml:space="preserve"> </w:t>
      </w:r>
    </w:p>
    <w:p>
      <w:pPr>
        <w:keepNext/>
      </w:pPr>
      <w:r>
        <w:rPr>
          <w:b/>
          <w:i w:val="0"/>
        </w:rPr>
        <w:t xml:space="preserve">∑ </w:t>
      </w:r>
      <w:r>
        <w:rPr>
          <w:b/>
          <w:i w:val="0"/>
        </w:rPr>
        <w:t xml:space="preserve"> </w:t>
      </w:r>
      <w:r>
        <w:rPr>
          <w:b/>
          <w:i w:val="0"/>
        </w:rPr>
        <w:t>1D Floquet–Bloch periodic layers</w:t>
      </w:r>
    </w:p>
    <w:p>
      <w:pPr/>
      <w:r>
        <w:rPr>
          <w:b w:val="0"/>
          <w:i w:val="0"/>
        </w:rPr>
        <w:t>Models → Electromagnetics · RF → 1D Floquet–Bloch periodic layers</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Periodic-cell eigenvalues, folded Bloch phase and stop-band decay</w:t>
      </w:r>
    </w:p>
    <w:p>
      <w:pPr/>
      <w:r>
        <w:rPr>
          <w:b w:val="0"/>
          <w:i w:val="0"/>
        </w:rPr>
        <w:t>Lossless isotropic A/B unit-cell eigenvalues, folded Bloch phase and stop-band attenuation at normal incidence. Not arbitrary-cell homogenization.</w:t>
      </w:r>
    </w:p>
    <w:p>
      <w:pPr>
        <w:keepNext/>
      </w:pPr>
      <w:r>
        <w:rPr>
          <w:b/>
          <w:i w:val="0"/>
        </w:rPr>
        <w:t>Formulations and study choices</w:t>
      </w:r>
    </w:p>
    <w:p>
      <w:pPr>
        <w:pStyle w:val="ListBullet"/>
      </w:pPr>
      <w:r>
        <w:rPr>
          <w:b w:val="0"/>
          <w:i w:val="0"/>
        </w:rPr>
        <w:t>EM · 1D Floquet–Bloch periodic layers</w:t>
      </w:r>
    </w:p>
    <w:p>
      <w:hyperlink r:id="rId93">
        <w:r>
          <w:rPr>
            <w:color w:val="176EA4"/>
          </w:rPr>
          <w:t>∑ Theory &amp; assumptions</w:t>
        </w:r>
      </w:hyperlink>
      <w:r>
        <w:t xml:space="preserve"> </w:t>
      </w:r>
    </w:p>
    <w:p>
      <w:hyperlink r:id="rId94">
        <w:r>
          <w:rPr>
            <w:color w:val="176EA4"/>
          </w:rPr>
          <w:t>Guided exercise &amp; two-layer workflow </w:t>
        </w:r>
      </w:hyperlink>
      <w:r>
        <w:t xml:space="preserve"> </w:t>
      </w:r>
    </w:p>
    <w:p>
      <w:pPr/>
      <w:r>
        <w:rPr>
          <w:b w:val="0"/>
          <w:i w:val="0"/>
        </w:rPr>
        <w:t>Outcomes and boundaries</w:t>
      </w:r>
    </w:p>
    <w:p>
      <w:pPr>
        <w:pStyle w:val="ListBullet"/>
      </w:pPr>
      <w:r>
        <w:rPr>
          <w:b w:val="0"/>
          <w:i w:val="0"/>
        </w:rPr>
        <w:t>Results update from the active tree selection</w:t>
      </w:r>
    </w:p>
    <w:p>
      <w:pPr>
        <w:pStyle w:val="ListBullet"/>
      </w:pPr>
      <w:r>
        <w:rPr>
          <w:b w:val="0"/>
          <w:i w:val="0"/>
        </w:rPr>
        <w:t>Charts and tables provide complementary views of the same solution</w:t>
      </w:r>
    </w:p>
    <w:p>
      <w:pPr>
        <w:pStyle w:val="ListBullet"/>
      </w:pPr>
      <w:r>
        <w:rPr>
          <w:b w:val="0"/>
          <w:i w:val="0"/>
        </w:rPr>
        <w:t>Mechanical, thermal, moisture, and total response can be reviewed separately</w:t>
      </w:r>
    </w:p>
    <w:p>
      <w:pPr/>
      <w:r>
        <w:rPr>
          <w:b w:val="0"/>
          <w:i w:val="0"/>
        </w:rPr>
        <w:t>Delivered capability</w:t>
      </w:r>
    </w:p>
    <w:p>
      <w:pPr/>
      <w:r>
        <w:rPr>
          <w:b w:val="0"/>
          <w:i w:val="0"/>
        </w:rPr>
        <w:t>Methods available in CDS</w:t>
      </w:r>
    </w:p>
    <w:p>
      <w:pPr/>
      <w:r>
        <w:rPr>
          <w:b w:val="0"/>
          <w:i w:val="0"/>
        </w:rPr>
        <w:t>Bar charts compare up to three properties; Ashby views compare any two</w:t>
      </w:r>
    </w:p>
    <w:p>
      <w:pPr/>
      <w:r>
        <w:rPr>
          <w:b w:val="0"/>
          <w:i w:val="0"/>
        </w:rPr>
        <w:t>Linear and logarithmic scales are available for property comparison</w:t>
      </w:r>
    </w:p>
    <w:p>
      <w:pPr/>
      <w:r>
        <w:rPr>
          <w:b w:val="0"/>
          <w:i w:val="0"/>
        </w:rPr>
        <w:t>Legend hover highlights its plotted records when practical</w:t>
      </w:r>
    </w:p>
    <w:p>
      <w:pPr/>
      <w:r>
        <w:rPr>
          <w:b w:val="0"/>
          <w:i w:val="0"/>
        </w:rPr>
        <w:t>3D views provide fill, opacity, extrema and autoscale controls</w:t>
      </w:r>
    </w:p>
    <w:p>
      <w:pPr/>
      <w:r>
        <w:rPr>
          <w:b w:val="0"/>
          <w:i w:val="0"/>
        </w:rPr>
        <w:t>Thermal cursors link time-history and through-thickness plots</w:t>
      </w:r>
    </w:p>
    <w:p>
      <w:pPr/>
      <w:r>
        <w:rPr>
          <w:b w:val="0"/>
          <w:i w:val="0"/>
        </w:rPr>
        <w:t>Right-click supported tables to export CSV, XLSX or PPTX evidence</w:t>
      </w:r>
    </w:p>
    <w:p>
      <w:hyperlink r:id="rId110">
        <w:r>
          <w:rPr>
            <w:color w:val="176EA4"/>
          </w:rPr>
          <w:t>Next capability 02.1 Connected engineering data →</w:t>
        </w:r>
      </w:hyperlink>
      <w:r>
        <w:t xml:space="preserve"> </w:t>
      </w:r>
    </w:p>
    <w:p>
      <w:bookmarkStart w:id="3" w:name="chapter_3"/>
      <w:pPr>
        <w:pStyle w:val="Heading1"/>
        <w:pageBreakBefore/>
      </w:pPr>
      <w:r>
        <w:t>3 Connect engineering work through the CDS cloud</w:t>
      </w:r>
      <w:bookmarkEnd w:id="3"/>
    </w:p>
    <w:p>
      <w:pPr>
        <w:pStyle w:val="Caption"/>
      </w:pPr>
      <w:hyperlink r:id="rId111">
        <w:r>
          <w:rPr>
            <w:color w:val="176EA4"/>
          </w:rPr>
          <w:t>Online chapter</w:t>
        </w:r>
      </w:hyperlink>
      <w:r>
        <w:t xml:space="preserve"> </w:t>
      </w:r>
    </w:p>
    <w:p>
      <w:pPr/>
      <w:r>
        <w:rPr>
          <w:b w:val="0"/>
          <w:i w:val="0"/>
        </w:rPr>
        <w:t>Extend the integrated model chain into secure collaboration, managed user access, versioned engineering records, shared examples, license delivery, and reusable cloud-supported workflows.</w:t>
      </w:r>
    </w:p>
    <w:p>
      <w:pPr/>
      <w:r>
        <w:rPr>
          <w:b w:val="0"/>
          <w:i w:val="0"/>
        </w:rPr>
        <w:t>03.6</w:t>
      </w:r>
      <w:r>
        <w:rPr>
          <w:b w:val="0"/>
          <w:i w:val="0"/>
        </w:rPr>
        <w:t xml:space="preserve"> </w:t>
      </w:r>
      <w:r>
        <w:rPr>
          <w:b w:val="0"/>
          <w:i w:val="0"/>
        </w:rPr>
        <w:t xml:space="preserve"> / Workflow focus</w:t>
      </w:r>
    </w:p>
    <w:p>
      <w:pPr/>
      <w:r>
        <w:rPr>
          <w:b w:val="0"/>
          <w:i w:val="0"/>
        </w:rPr>
        <w:t>Connected engineering record</w:t>
      </w:r>
    </w:p>
    <w:p>
      <w:pPr>
        <w:pStyle w:val="Heading2"/>
      </w:pPr>
      <w:r>
        <w:t>Connected user accounts</w:t>
      </w:r>
    </w:p>
    <w:p>
      <w:pPr/>
      <w:r>
        <w:rPr>
          <w:b w:val="0"/>
          <w:i w:val="0"/>
        </w:rPr>
        <w:t>One verified CDS account connects licensing, approved downloads, forum participation, and shared engineering resources without requiring a ChatGPT login.</w:t>
      </w:r>
    </w:p>
    <w:p>
      <w:pPr>
        <w:pStyle w:val="Heading2"/>
      </w:pPr>
      <w:r>
        <w:t>Versioned engineering records</w:t>
      </w:r>
    </w:p>
    <w:p>
      <w:pPr/>
      <w:r>
        <w:rPr>
          <w:b w:val="0"/>
          <w:i w:val="0"/>
        </w:rPr>
        <w:t>Model inputs, assumptions, releases, and outputs can be organized as traceable records so a design decision can be revisited and reproduced.</w:t>
      </w:r>
    </w:p>
    <w:p>
      <w:pPr>
        <w:pStyle w:val="Heading2"/>
      </w:pPr>
      <w:r>
        <w:t>Shared examples and guidance</w:t>
      </w:r>
    </w:p>
    <w:p>
      <w:pPr/>
      <w:r>
        <w:rPr>
          <w:b w:val="0"/>
          <w:i w:val="0"/>
        </w:rPr>
        <w:t>Source-grounded examples, technical references, workflow guidance, and training remain available alongside the models they explain.</w:t>
      </w:r>
    </w:p>
    <w:p>
      <w:pPr>
        <w:pStyle w:val="Heading2"/>
      </w:pPr>
      <w:r>
        <w:t>Account entitlement</w:t>
      </w:r>
    </w:p>
    <w:p>
      <w:pPr/>
      <w:r>
        <w:rPr>
          <w:b w:val="0"/>
          <w:i w:val="0"/>
        </w:rPr>
        <w:t>The cloud account workflow authorizes project roles, module access, Recipe execution, and result retrieval through the same secured user record.</w:t>
      </w:r>
    </w:p>
    <w:p>
      <w:pPr>
        <w:pStyle w:val="Heading2"/>
      </w:pPr>
      <w:r>
        <w:t>Collaboration and forum</w:t>
      </w:r>
    </w:p>
    <w:p>
      <w:pPr/>
      <w:r>
        <w:rPr>
          <w:b w:val="0"/>
          <w:i w:val="0"/>
        </w:rPr>
        <w:t>Engineers can discuss methods, exchange model context, and connect questions to the relevant CDS workflow and theory pages.</w:t>
      </w:r>
    </w:p>
    <w:p>
      <w:pPr>
        <w:pStyle w:val="Heading2"/>
      </w:pPr>
      <w:r>
        <w:t>Share an understandable study</w:t>
      </w:r>
    </w:p>
    <w:p>
      <w:pPr/>
      <w:r>
        <w:rPr>
          <w:b w:val="0"/>
          <w:i w:val="0"/>
        </w:rPr>
        <w:t>Carry material sources, assumptions and results into reports and further analysis so another researcher can follow the engineering reasoning.</w:t>
      </w:r>
    </w:p>
    <w:p>
      <w:pPr/>
      <w:hyperlink r:id="rId112">
        <w:r>
          <w:rPr>
            <w:color w:val="176EA4"/>
          </w:rPr>
          <w:t>Use this workflow in Workbench: interactive Blocks, record selections and connection controls →</w:t>
        </w:r>
      </w:hyperlink>
      <w:r>
        <w:t xml:space="preserve"> </w:t>
      </w:r>
    </w:p>
    <w:p>
      <w:hyperlink r:id="rId113">
        <w:r>
          <w:rPr>
            <w:color w:val="176EA4"/>
          </w:rPr>
          <w:t>Next workflow page 03.1 Materials →</w:t>
        </w:r>
      </w:hyperlink>
      <w:r>
        <w:t xml:space="preserve"> </w:t>
      </w:r>
    </w:p>
    <w:p>
      <w:bookmarkStart w:id="4" w:name="chapter_4"/>
      <w:pPr>
        <w:pStyle w:val="Heading1"/>
        <w:pageBreakBefore/>
      </w:pPr>
      <w:r>
        <w:t>4 Evaluate the complete composite structure</w:t>
      </w:r>
      <w:bookmarkEnd w:id="4"/>
    </w:p>
    <w:p>
      <w:pPr>
        <w:pStyle w:val="Caption"/>
      </w:pPr>
      <w:hyperlink r:id="rId114">
        <w:r>
          <w:rPr>
            <w:color w:val="176EA4"/>
          </w:rPr>
          <w:t>Online chapter</w:t>
        </w:r>
      </w:hyperlink>
      <w:r>
        <w:t xml:space="preserve"> </w:t>
      </w:r>
    </w:p>
    <w:p>
      <w:pPr/>
      <w:r>
        <w:rPr>
          <w:b w:val="0"/>
          <w:i w:val="0"/>
        </w:rPr>
        <w:t>Choose a compatible released plate, cylinder, beam, section, joint or analytical study. Shared laminate inputs do not make every model combination valid.</w:t>
      </w:r>
    </w:p>
    <w:p>
      <w:pPr>
        <w:pStyle w:val="Heading2"/>
      </w:pPr>
      <w:r>
        <w:t>Select cases and inspect your model</w:t>
      </w:r>
    </w:p>
    <w:p>
      <w:pPr>
        <w:keepNext/>
      </w:pPr>
      <w:r>
        <w:rPr>
          <w:b/>
          <w:i w:val="0"/>
        </w:rP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keepNext/>
      </w:pPr>
      <w:r>
        <w:rPr>
          <w:b/>
          <w:i w:val="0"/>
        </w:rP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evidence of a successful solve.</w:t>
      </w:r>
    </w:p>
    <w:p>
      <w:pPr/>
      <w:r>
        <w:rPr>
          <w:b w:val="0"/>
          <w:i w:val="0"/>
        </w:rPr>
        <w:t>Selecting several cases does not add unsupported physics coupling. EM screening studies do not automatically heat the thermal case.</w:t>
      </w:r>
    </w:p>
    <w:p>
      <w:pPr>
        <w:keepNext/>
      </w:pPr>
      <w:r>
        <w:rPr>
          <w:b/>
          <w:i w:val="0"/>
        </w:rP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hyperlink r:id="rId95">
        <w:r>
          <w:rPr>
            <w:color w:val="176EA4"/>
          </w:rPr>
          <w:t>Complete block workflow guide</w:t>
        </w:r>
      </w:hyperlink>
      <w:r>
        <w:t xml:space="preserve"> </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5" name="Picture 5" descr="CDS workflow or model illustration"/>
            <wp:cNvGraphicFramePr>
              <a:graphicFrameLocks noChangeAspect="1"/>
            </wp:cNvGraphicFramePr>
            <a:graphic>
              <a:graphicData uri="http://schemas.openxmlformats.org/drawingml/2006/picture">
                <pic:pic>
                  <pic:nvPicPr>
                    <pic:cNvPr id="0" name="rsvg-f24009332ae24c1362f2b359ad36a7ce9c736e742dd0a83654e84abeb7e1313b.png"/>
                    <pic:cNvPicPr/>
                  </pic:nvPicPr>
                  <pic:blipFill>
                    <a:blip r:embed="rId100"/>
                    <a:stretch>
                      <a:fillRect/>
                    </a:stretch>
                  </pic:blipFill>
                  <pic:spPr>
                    <a:xfrm>
                      <a:off x="0" y="0"/>
                      <a:ext cx="6217920" cy="1935767"/>
                    </a:xfrm>
                    <a:prstGeom prst="rect"/>
                  </pic:spPr>
                </pic:pic>
              </a:graphicData>
            </a:graphic>
          </wp:inline>
        </w:drawing>
      </w:r>
    </w:p>
    <w:p>
      <w:pPr/>
      <w:r>
        <w:rPr>
          <w:b w:val="0"/>
          <w:i w:val="0"/>
        </w:rPr>
        <w:t>Materials → Micro → Laminate.</w:t>
      </w:r>
    </w:p>
    <w:p>
      <w:pPr/>
      <w:r>
        <w:rPr>
          <w:b w:val="0"/>
          <w:i w:val="0"/>
        </w:rPr>
        <w:t>03.5</w:t>
      </w:r>
      <w:r>
        <w:rPr>
          <w:b w:val="0"/>
          <w:i w:val="0"/>
        </w:rPr>
        <w:t xml:space="preserve"> </w:t>
      </w:r>
      <w:r>
        <w:rPr>
          <w:b w:val="0"/>
          <w:i w:val="0"/>
        </w:rPr>
        <w:t xml:space="preserve"> / Workflow focus</w:t>
      </w:r>
    </w:p>
    <w:p>
      <w:pPr/>
      <w:r>
        <w:rPr>
          <w:b w:val="0"/>
          <w:i w:val="0"/>
        </w:rPr>
        <w:t>Connected engineering record</w:t>
      </w:r>
    </w:p>
    <w:p>
      <w:pPr>
        <w:pStyle w:val="Heading2"/>
      </w:pPr>
      <w:r>
        <w:t>Plate and beam response</w:t>
      </w:r>
    </w:p>
    <w:p>
      <w:pPr/>
      <w:r>
        <w:rPr>
          <w:b w:val="0"/>
          <w:i w:val="0"/>
        </w:rPr>
        <w:t>Use the released CLT/FSDT finite-plate or membrane/beam path with compatible dimensions, loads and supports. Buckling, modal and static bending are distinct study choices.</w:t>
      </w:r>
    </w:p>
    <w:p>
      <w:pPr>
        <w:pStyle w:val="Heading2"/>
      </w:pPr>
      <w:r>
        <w:t>Cylinder formulations</w:t>
      </w:r>
    </w:p>
    <w:p>
      <w:pPr/>
      <w:r>
        <w:rPr>
          <w:b w:val="0"/>
          <w:i w:val="0"/>
        </w:rPr>
        <w:t>Thin-wall membrane and layerwise thick-wall elasticity have different load and process limits. Donnell axial buckling is a separate thin-shell study with an explicit knockdown factor.</w:t>
      </w:r>
    </w:p>
    <w:p>
      <w:pPr>
        <w:pStyle w:val="Heading2"/>
      </w:pPr>
      <w:r>
        <w:t>Sections and joints</w:t>
      </w:r>
    </w:p>
    <w:p>
      <w:pPr/>
      <w:r>
        <w:rPr>
          <w:b w:val="0"/>
          <w:i w:val="0"/>
        </w:rPr>
        <w:t>Layerwise sections, lap joints and sandwich bending have their own geometry and interfaces. The analytical Volkersen / Goland–Reissner study is a separate identical-adherend elastic approximation.</w:t>
      </w:r>
    </w:p>
    <w:p>
      <w:pPr>
        <w:pStyle w:val="Heading2"/>
      </w:pPr>
      <w:r>
        <w:t>Failure and notches</w:t>
      </w:r>
    </w:p>
    <w:p>
      <w:pPr/>
      <w:r>
        <w:rPr>
          <w:b w:val="0"/>
          <w:i w:val="0"/>
        </w:rPr>
        <w:t>The five existing criteria support eligible CLT first-ply / progressive calculations. LaRC04 linear-shear initiation and calibrated open-hole strength are separate studies, not additional progressive choices.</w:t>
      </w:r>
    </w:p>
    <w:p>
      <w:pPr>
        <w:pStyle w:val="Heading2"/>
      </w:pPr>
      <w:r>
        <w:t>Fatigue</w:t>
      </w:r>
    </w:p>
    <w:p>
      <w:pPr/>
      <w:r>
        <w:rPr>
          <w:b w:val="0"/>
          <w:i w:val="0"/>
        </w:rPr>
        <w:t>S–N models predict life from calibrated data. Residual stiffness / strength requires independently fitted retention laws in its separate study; neither automatically changes optimization properties.</w:t>
      </w:r>
    </w:p>
    <w:p>
      <w:pPr>
        <w:pStyle w:val="Heading2"/>
      </w:pPr>
      <w:r>
        <w:t>Creep shape and uncertainty</w:t>
      </w:r>
    </w:p>
    <w:p>
      <w:pPr/>
      <w:r>
        <w:rPr>
          <w:b w:val="0"/>
          <w:i w:val="0"/>
        </w:rPr>
        <w:t>Reference-state studies explore time response, prescribed-eigenstrain free release and bounded ABD sampling. Their scope, inputs and output handoffs are listed below.</w:t>
      </w:r>
    </w:p>
    <w:p>
      <w:pPr>
        <w:pStyle w:val="Heading2"/>
      </w:pPr>
      <w:r>
        <w:t>Keep evidence connected</w:t>
      </w:r>
    </w:p>
    <w:p>
      <w:pPr/>
      <w:r>
        <w:rPr>
          <w:b w:val="0"/>
          <w:i w:val="0"/>
        </w:rPr>
        <w:t>Run the selected Simulation after relevant edits. Review model assumptions, stale-result warnings, convergence and calibration before interpreting the result.</w:t>
      </w:r>
    </w:p>
    <w:p>
      <w:pPr/>
      <w:r>
        <w:rPr>
          <w:b w:val="0"/>
          <w:i w:val="0"/>
        </w:rPr>
        <w:t xml:space="preserve">Workbench availability: </w:t>
      </w:r>
      <w:hyperlink r:id="rId101">
        <w:r>
          <w:rPr>
            <w:color w:val="176EA4"/>
          </w:rPr>
          <w:t>released models, inputs and compatible study paths</w:t>
        </w:r>
      </w:hyperlink>
      <w:r>
        <w:t xml:space="preserve"> </w:t>
      </w:r>
      <w:r>
        <w:rPr>
          <w:b w:val="0"/>
          <w:i w:val="0"/>
        </w:rPr>
        <w:t>. The wider theory library includes reference formulations not available in every Workbench solve.</w:t>
      </w:r>
    </w:p>
    <w:p>
      <w:pPr/>
      <w:hyperlink r:id="rId112">
        <w:r>
          <w:rPr>
            <w:color w:val="176EA4"/>
          </w:rPr>
          <w:t>Use this workflow in Workbench: interactive Blocks, record selections and connection controls →</w:t>
        </w:r>
      </w:hyperlink>
      <w:r>
        <w:t xml:space="preserve"> </w:t>
      </w:r>
    </w:p>
    <w:p>
      <w:pPr>
        <w:pStyle w:val="Heading2"/>
      </w:pPr>
      <w:r>
        <w:t>Design released model connections</w:t>
      </w:r>
    </w:p>
    <w:p>
      <w:pPr/>
      <w:r>
        <w:rPr>
          <w:b w:val="0"/>
          <w:i w:val="0"/>
        </w:rPr>
        <w:t xml:space="preserve">Expand a family for inputs, outputs, supported formulations, theory and an exercise. </w:t>
      </w:r>
      <w:hyperlink r:id="rId101">
        <w:r>
          <w:rPr>
            <w:color w:val="176EA4"/>
          </w:rPr>
          <w:t>All model families </w:t>
        </w:r>
      </w:hyperlink>
      <w:r>
        <w:t xml:space="preserve"> </w:t>
      </w:r>
    </w:p>
    <w:p>
      <w:pPr>
        <w:keepNext/>
      </w:pPr>
      <w:r>
        <w:rPr>
          <w:b/>
          <w:i w:val="0"/>
        </w:rPr>
        <w:t xml:space="preserve">∑ </w:t>
      </w:r>
      <w:r>
        <w:rPr>
          <w:b/>
          <w:i w:val="0"/>
        </w:rPr>
        <w:t xml:space="preserve"> </w:t>
      </w:r>
      <w:r>
        <w:rPr>
          <w:b/>
          <w:i w:val="0"/>
        </w:rPr>
        <w:t>Plate · CLT &amp; FSDT</w:t>
      </w:r>
    </w:p>
    <w:p>
      <w:pPr/>
      <w:r>
        <w:rPr>
          <w:b w:val="0"/>
          <w:i w:val="0"/>
        </w:rPr>
        <w:t>Structural models → Laminate mechanics · CLT / FSDT</w:t>
      </w:r>
    </w:p>
    <w:p>
      <w:r>
        <w:rPr>
          <w:b w:val="0"/>
          <w:i w:val="0"/>
        </w:rPr>
        <w:t>Inputs</w:t>
      </w:r>
      <w:r>
        <w:t xml:space="preserve"> </w:t>
      </w:r>
      <w:r>
        <w:rPr>
          <w:b w:val="0"/>
          <w:i w:val="0"/>
        </w:rPr>
        <w:t>Laminate stiffness, finite plate dimensions, supported edges and study choice</w:t>
      </w:r>
      <w:r>
        <w:t xml:space="preserve"> </w:t>
      </w:r>
      <w:r>
        <w:rPr>
          <w:b w:val="0"/>
          <w:i w:val="0"/>
        </w:rPr>
        <w:t>Results / handoff</w:t>
      </w:r>
      <w:r>
        <w:t xml:space="preserve"> </w:t>
      </w:r>
      <w:r>
        <w:rPr>
          <w:b w:val="0"/>
          <w:i w:val="0"/>
        </w:rPr>
        <w:t>FSDT static bending or selected buckling / modal results; not progressive damage</w:t>
      </w:r>
    </w:p>
    <w:p>
      <w:pPr/>
      <w:r>
        <w:rPr>
          <w:b w:val="0"/>
          <w:i w:val="0"/>
        </w:rPr>
        <w:t>Choose a formulation and study. Buckling and modal can be requested together; static bending requires FSDT. These are reference-elastic studies, separate from coupled process or progressive failure.</w:t>
      </w:r>
    </w:p>
    <w:p>
      <w:pPr>
        <w:keepNext/>
      </w:pPr>
      <w:r>
        <w:rPr>
          <w:b/>
          <w:i w:val="0"/>
        </w:rPr>
        <w:t>Formulations and study choices</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hyperlink r:id="rId22">
        <w:r>
          <w:rPr>
            <w:color w:val="176EA4"/>
          </w:rPr>
          <w:t>∑ Theory &amp; assumptions</w:t>
        </w:r>
      </w:hyperlink>
      <w:r>
        <w:t xml:space="preserve"> </w:t>
      </w:r>
    </w:p>
    <w:p>
      <w:hyperlink r:id="rId23">
        <w:r>
          <w:rPr>
            <w:color w:val="176EA4"/>
          </w:rPr>
          <w:t>Guided exercise &amp; two-layer workflow </w:t>
        </w:r>
      </w:hyperlink>
      <w:r>
        <w:t xml:space="preserve"> </w:t>
      </w:r>
    </w:p>
    <w:p>
      <w:pPr>
        <w:keepNext/>
      </w:pPr>
      <w:r>
        <w:rPr>
          <w:b/>
          <w:i w:val="0"/>
        </w:rPr>
        <w:t xml:space="preserve">∑ </w:t>
      </w:r>
      <w:r>
        <w:rPr>
          <w:b/>
          <w:i w:val="0"/>
        </w:rPr>
        <w:t xml:space="preserve"> </w:t>
      </w:r>
      <w:r>
        <w:rPr>
          <w:b/>
          <w:i w:val="0"/>
        </w:rPr>
        <w:t>Cylinder</w:t>
      </w:r>
    </w:p>
    <w:p>
      <w:pPr/>
      <w:r>
        <w:rPr>
          <w:b w:val="0"/>
          <w:i w:val="0"/>
        </w:rPr>
        <w:t>Structural models → Cylinder models</w:t>
      </w:r>
    </w:p>
    <w:p>
      <w:r>
        <w:rPr>
          <w:b w:val="0"/>
          <w:i w:val="0"/>
        </w:rPr>
        <w:t>Inputs</w:t>
      </w:r>
      <w:r>
        <w:t xml:space="preserve"> </w:t>
      </w:r>
      <w:r>
        <w:rPr>
          <w:b w:val="0"/>
          <w:i w:val="0"/>
        </w:rPr>
        <w:t>Laminate, cylinder dimensions and formulation-compatible pressure / axial loading</w:t>
      </w:r>
      <w:r>
        <w:t xml:space="preserve"> </w:t>
      </w:r>
      <w:r>
        <w:rPr>
          <w:b w:val="0"/>
          <w:i w:val="0"/>
        </w:rPr>
        <w:t>Results / handoff</w:t>
      </w:r>
      <w:r>
        <w:t xml:space="preserve"> </w:t>
      </w:r>
      <w:r>
        <w:rPr>
          <w:b w:val="0"/>
          <w:i w:val="0"/>
        </w:rPr>
        <w:t>Thin-wall membrane response or layerwise radial fields, with distinct assumptions</w:t>
      </w:r>
    </w:p>
    <w:p>
      <w:pPr/>
      <w:r>
        <w:rPr>
          <w:b w:val="0"/>
          <w:i w:val="0"/>
        </w:rPr>
        <w:t>Choose one cylinder formulation per case record. Geometry and plies remain shared; thick-wall radial results exclude torsion and process strains.</w:t>
      </w:r>
    </w:p>
    <w:p>
      <w:pPr>
        <w:keepNext/>
      </w:pPr>
      <w:r>
        <w:rPr>
          <w:b/>
          <w:i w:val="0"/>
        </w:rPr>
        <w:t>Formulations and study choices</w:t>
      </w:r>
    </w:p>
    <w:p>
      <w:pPr>
        <w:pStyle w:val="ListBullet"/>
      </w:pPr>
      <w:r>
        <w:rPr>
          <w:b w:val="0"/>
          <w:i w:val="0"/>
        </w:rPr>
        <w:t>Linear thin-wall membrane</w:t>
      </w:r>
    </w:p>
    <w:p>
      <w:pPr>
        <w:pStyle w:val="ListBullet"/>
      </w:pPr>
      <w:r>
        <w:rPr>
          <w:b w:val="0"/>
          <w:i w:val="0"/>
        </w:rPr>
        <w:t>Layerwise thick-wall elasticity</w:t>
      </w:r>
    </w:p>
    <w:p>
      <w:hyperlink r:id="rId24">
        <w:r>
          <w:rPr>
            <w:color w:val="176EA4"/>
          </w:rPr>
          <w:t>∑ Theory &amp; assumptions</w:t>
        </w:r>
      </w:hyperlink>
      <w:r>
        <w:t xml:space="preserve"> </w:t>
      </w:r>
    </w:p>
    <w:p>
      <w:hyperlink r:id="rId25">
        <w:r>
          <w:rPr>
            <w:color w:val="176EA4"/>
          </w:rPr>
          <w:t>Guided exercise &amp; two-layer workflow </w:t>
        </w:r>
      </w:hyperlink>
      <w:r>
        <w:t xml:space="preserve"> </w:t>
      </w:r>
    </w:p>
    <w:p>
      <w:pPr/>
      <w:r>
        <w:rPr>
          <w:b w:val="0"/>
          <w:i w:val="0"/>
        </w:rPr>
        <w:t xml:space="preserve"> · </w:t>
      </w:r>
      <w:hyperlink r:id="rId106">
        <w:r>
          <w:rPr>
            <w:color w:val="176EA4"/>
          </w:rPr>
          <w:t>Layerwise thick-wall theory</w:t>
        </w:r>
      </w:hyperlink>
      <w:r>
        <w:t xml:space="preserve"> </w:t>
      </w:r>
    </w:p>
    <w:p>
      <w:pPr>
        <w:keepNext/>
      </w:pPr>
      <w:r>
        <w:rPr>
          <w:b/>
          <w:i w:val="0"/>
        </w:rPr>
        <w:t xml:space="preserve">∑ </w:t>
      </w:r>
      <w:r>
        <w:rPr>
          <w:b/>
          <w:i w:val="0"/>
        </w:rPr>
        <w:t xml:space="preserve"> </w:t>
      </w:r>
      <w:r>
        <w:rPr>
          <w:b/>
          <w:i w:val="0"/>
        </w:rPr>
        <w:t>Membrane, bending &amp; beam buckling</w:t>
      </w:r>
    </w:p>
    <w:p>
      <w:pPr/>
      <w:r>
        <w:rPr>
          <w:b w:val="0"/>
          <w:i w:val="0"/>
        </w:rPr>
        <w:t>Structural models → Laminate mechanics → Membrane, bending &amp; beam</w:t>
      </w:r>
    </w:p>
    <w:p>
      <w:r>
        <w:rPr>
          <w:b w:val="0"/>
          <w:i w:val="0"/>
        </w:rPr>
        <w:t>Inputs</w:t>
      </w:r>
      <w:r>
        <w:t xml:space="preserve"> </w:t>
      </w:r>
      <w:r>
        <w:rPr>
          <w:b w:val="0"/>
          <w:i w:val="0"/>
        </w:rPr>
        <w:t>Laminate, compatible section and static or Euler load case</w:t>
      </w:r>
      <w:r>
        <w:t xml:space="preserve"> </w:t>
      </w:r>
      <w:r>
        <w:rPr>
          <w:b w:val="0"/>
          <w:i w:val="0"/>
        </w:rPr>
        <w:t>Results / handoff</w:t>
      </w:r>
      <w:r>
        <w:t xml:space="preserve"> </w:t>
      </w:r>
      <w:r>
        <w:rPr>
          <w:b w:val="0"/>
          <w:i w:val="0"/>
        </w:rPr>
        <w:t>Membrane / bending response or separate Euler buckling result</w:t>
      </w:r>
    </w:p>
    <w:p>
      <w:pPr/>
      <w:r>
        <w:rPr>
          <w:b w:val="0"/>
          <w:i w:val="0"/>
        </w:rPr>
        <w:t>Geometry and the case determine the membrane or beam-test interpretation. Euler buckling requires a compatible beam section and a separate reference-elastic study; it is not a strength or local-buckling pass.</w:t>
      </w:r>
    </w:p>
    <w:p>
      <w:pPr>
        <w:keepNext/>
      </w:pPr>
      <w:r>
        <w:rPr>
          <w:b/>
          <w:i w:val="0"/>
        </w:rPr>
        <w:t>Formulations and study choices</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hyperlink r:id="rId26">
        <w:r>
          <w:rPr>
            <w:color w:val="176EA4"/>
          </w:rPr>
          <w:t>∑ Theory &amp; assumptions</w:t>
        </w:r>
      </w:hyperlink>
      <w:r>
        <w:t xml:space="preserve"> </w:t>
      </w:r>
    </w:p>
    <w:p>
      <w:hyperlink r:id="rId27">
        <w:r>
          <w:rPr>
            <w:color w:val="176EA4"/>
          </w:rPr>
          <w:t>Guided exercise &amp; two-layer workflow </w:t>
        </w:r>
      </w:hyperlink>
      <w:r>
        <w:t xml:space="preserve"> </w:t>
      </w:r>
    </w:p>
    <w:p>
      <w:pPr>
        <w:keepNext/>
      </w:pPr>
      <w:r>
        <w:rPr>
          <w:b/>
          <w:i w:val="0"/>
        </w:rPr>
        <w:t xml:space="preserve">∑ </w:t>
      </w:r>
      <w:r>
        <w:rPr>
          <w:b/>
          <w:i w:val="0"/>
        </w:rPr>
        <w:t xml:space="preserve"> </w:t>
      </w:r>
      <w:r>
        <w:rPr>
          <w:b/>
          <w:i w:val="0"/>
        </w:rPr>
        <w:t>Layerwise sections, joints &amp; delamination</w:t>
      </w:r>
    </w:p>
    <w:p>
      <w:pPr/>
      <w:r>
        <w:rPr>
          <w:b w:val="0"/>
          <w:i w:val="0"/>
        </w:rPr>
        <w:t>Structural models → Layerwise sections &amp; joints</w:t>
      </w:r>
    </w:p>
    <w:p>
      <w:r>
        <w:rPr>
          <w:b w:val="0"/>
          <w:i w:val="0"/>
        </w:rPr>
        <w:t>Inputs</w:t>
      </w:r>
      <w:r>
        <w:t xml:space="preserve"> </w:t>
      </w:r>
      <w:r>
        <w:rPr>
          <w:b w:val="0"/>
          <w:i w:val="0"/>
        </w:rPr>
        <w:t>Section or lap geometry, laminate, loads and calibrated interface properties</w:t>
      </w:r>
      <w:r>
        <w:t xml:space="preserve"> </w:t>
      </w:r>
      <w:r>
        <w:rPr>
          <w:b w:val="0"/>
          <w:i w:val="0"/>
        </w:rPr>
        <w:t>Results / handoff</w:t>
      </w:r>
      <w:r>
        <w:t xml:space="preserve"> </w:t>
      </w:r>
      <w:r>
        <w:rPr>
          <w:b w:val="0"/>
          <w:i w:val="0"/>
        </w:rPr>
        <w:t>x–z fields; coupled ply damage and delamination only for the supported layerwise plate path</w:t>
      </w:r>
    </w:p>
    <w:p>
      <w:pPr/>
      <w:r>
        <w:rPr>
          <w:b w:val="0"/>
          <w:i w:val="0"/>
        </w:rPr>
        <w:t>Coupled delamination is available only for the layerwise Plate section and needs calibrated interface and ply properties. Lap-shear uses its separate joint geometry and perfectly bonded elastic formulation.</w:t>
      </w:r>
    </w:p>
    <w:p>
      <w:pPr>
        <w:keepNext/>
      </w:pPr>
      <w:r>
        <w:rPr>
          <w:b/>
          <w:i w:val="0"/>
        </w:rPr>
        <w:t>Formulations and study choices</w:t>
      </w:r>
    </w:p>
    <w:p>
      <w:pPr>
        <w:pStyle w:val="ListBullet"/>
      </w:pPr>
      <w:r>
        <w:rPr>
          <w:b w:val="0"/>
          <w:i w:val="0"/>
        </w:rPr>
        <w:t>Layerwise x-z plane strain</w:t>
      </w:r>
    </w:p>
    <w:p>
      <w:pPr>
        <w:pStyle w:val="ListBullet"/>
      </w:pPr>
      <w:r>
        <w:rPr>
          <w:b w:val="0"/>
          <w:i w:val="0"/>
        </w:rPr>
        <w:t>Single-lap x-z plane strain</w:t>
      </w:r>
    </w:p>
    <w:p>
      <w:pPr>
        <w:pStyle w:val="ListBullet"/>
      </w:pPr>
      <w:r>
        <w:rPr>
          <w:b w:val="0"/>
          <w:i w:val="0"/>
        </w:rPr>
        <w:t>Coupled delamination growth</w:t>
      </w:r>
    </w:p>
    <w:p>
      <w:hyperlink r:id="rId28">
        <w:r>
          <w:rPr>
            <w:color w:val="176EA4"/>
          </w:rPr>
          <w:t>∑ Theory &amp; assumptions</w:t>
        </w:r>
      </w:hyperlink>
      <w:r>
        <w:t xml:space="preserve"> </w:t>
      </w:r>
    </w:p>
    <w:p>
      <w:hyperlink r:id="rId29">
        <w:r>
          <w:rPr>
            <w:color w:val="176EA4"/>
          </w:rPr>
          <w:t>Guided exercise &amp; two-layer workflow </w:t>
        </w:r>
      </w:hyperlink>
      <w:r>
        <w:t xml:space="preserve"> </w:t>
      </w:r>
    </w:p>
    <w:p>
      <w:pPr/>
      <w:r>
        <w:rPr>
          <w:b w:val="0"/>
          <w:i w:val="0"/>
        </w:rPr>
        <w:t xml:space="preserve"> · </w:t>
      </w:r>
      <w:hyperlink r:id="rId107">
        <w:r>
          <w:rPr>
            <w:color w:val="176EA4"/>
          </w:rPr>
          <w:t>Cohesive interface theory</w:t>
        </w:r>
      </w:hyperlink>
      <w:r>
        <w:t xml:space="preserve"> </w:t>
      </w:r>
    </w:p>
    <w:p>
      <w:pPr>
        <w:keepNext/>
      </w:pPr>
      <w:r>
        <w:rPr>
          <w:b/>
          <w:i w:val="0"/>
        </w:rPr>
        <w:t xml:space="preserve">∑ </w:t>
      </w:r>
      <w:r>
        <w:rPr>
          <w:b/>
          <w:i w:val="0"/>
        </w:rPr>
        <w:t xml:space="preserve"> </w:t>
      </w:r>
      <w:r>
        <w:rPr>
          <w:b/>
          <w:i w:val="0"/>
        </w:rPr>
        <w:t>Sandwich bending</w:t>
      </w:r>
    </w:p>
    <w:p>
      <w:pPr/>
      <w:r>
        <w:rPr>
          <w:b w:val="0"/>
          <w:i w:val="0"/>
        </w:rPr>
        <w:t>Structural models → Sandwich bending</w:t>
      </w:r>
    </w:p>
    <w:p>
      <w:r>
        <w:rPr>
          <w:b w:val="0"/>
          <w:i w:val="0"/>
        </w:rPr>
        <w:t>Inputs</w:t>
      </w:r>
      <w:r>
        <w:t xml:space="preserve"> </w:t>
      </w:r>
      <w:r>
        <w:rPr>
          <w:b w:val="0"/>
          <w:i w:val="0"/>
        </w:rPr>
        <w:t>Faces, core, dimensions and three-point-bend load</w:t>
      </w:r>
      <w:r>
        <w:t xml:space="preserve"> </w:t>
      </w:r>
      <w:r>
        <w:rPr>
          <w:b w:val="0"/>
          <w:i w:val="0"/>
        </w:rPr>
        <w:t>Results / handoff</w:t>
      </w:r>
      <w:r>
        <w:t xml:space="preserve"> </w:t>
      </w:r>
      <w:r>
        <w:rPr>
          <w:b w:val="0"/>
          <w:i w:val="0"/>
        </w:rPr>
        <w:t>Deflection and separate face, core and nominal bond-shear screening</w:t>
      </w:r>
    </w:p>
    <w:p>
      <w:pPr/>
      <w:r>
        <w:rPr>
          <w:b w:val="0"/>
          <w:i w:val="0"/>
        </w:rPr>
        <w:t>Dedicated sandwich screening. Check core, faces and nominal bond shear separately; peel, mixed-mode debonding and crack growth are not assessed.</w:t>
      </w:r>
    </w:p>
    <w:p>
      <w:pPr>
        <w:keepNext/>
      </w:pPr>
      <w:r>
        <w:rPr>
          <w:b/>
          <w:i w:val="0"/>
        </w:rPr>
        <w:t>Formulations and study choices</w:t>
      </w:r>
    </w:p>
    <w:p>
      <w:pPr>
        <w:pStyle w:val="ListBullet"/>
      </w:pPr>
      <w:r>
        <w:rPr>
          <w:b w:val="0"/>
          <w:i w:val="0"/>
        </w:rPr>
        <w:t>Sandwich three-point bend</w:t>
      </w:r>
    </w:p>
    <w:p>
      <w:hyperlink r:id="rId28">
        <w:r>
          <w:rPr>
            <w:color w:val="176EA4"/>
          </w:rPr>
          <w:t>∑ Theory &amp; assumptions</w:t>
        </w:r>
      </w:hyperlink>
      <w:r>
        <w:t xml:space="preserve"> </w:t>
      </w:r>
    </w:p>
    <w:p>
      <w:hyperlink r:id="rId30">
        <w:r>
          <w:rPr>
            <w:color w:val="176EA4"/>
          </w:rPr>
          <w:t>Guided exercise &amp; two-layer workflow </w:t>
        </w:r>
      </w:hyperlink>
      <w:r>
        <w:t xml:space="preserve"> </w:t>
      </w:r>
    </w:p>
    <w:p>
      <w:pPr>
        <w:keepNext/>
      </w:pPr>
      <w:r>
        <w:rPr>
          <w:b/>
          <w:i w:val="0"/>
        </w:rPr>
        <w:t xml:space="preserve">∑ </w:t>
      </w:r>
      <w:r>
        <w:rPr>
          <w:b/>
          <w:i w:val="0"/>
        </w:rPr>
        <w:t xml:space="preserve"> </w:t>
      </w:r>
      <w:r>
        <w:rPr>
          <w:b/>
          <w:i w:val="0"/>
        </w:rPr>
        <w:t>Failure &amp; envelope comparison</w:t>
      </w:r>
    </w:p>
    <w:p>
      <w:pPr/>
      <w:r>
        <w:rPr>
          <w:b w:val="0"/>
          <w:i w:val="0"/>
        </w:rPr>
        <w:t>Structural models → Laminate mechanics → Failure criteria</w:t>
      </w:r>
    </w:p>
    <w:p>
      <w:r>
        <w:rPr>
          <w:b w:val="0"/>
          <w:i w:val="0"/>
        </w:rPr>
        <w:t>Inputs</w:t>
      </w:r>
      <w:r>
        <w:t xml:space="preserve"> </w:t>
      </w:r>
      <w:r>
        <w:rPr>
          <w:b w:val="0"/>
          <w:i w:val="0"/>
        </w:rPr>
        <w:t>Eligible CLT load case, strengths / strain limits and selected criterion</w:t>
      </w:r>
      <w:r>
        <w:t xml:space="preserve"> </w:t>
      </w:r>
      <w:r>
        <w:rPr>
          <w:b w:val="0"/>
          <w:i w:val="0"/>
        </w:rPr>
        <w:t>Results / handoff</w:t>
      </w:r>
      <w:r>
        <w:t xml:space="preserve"> </w:t>
      </w:r>
      <w:r>
        <w:rPr>
          <w:b w:val="0"/>
          <w:i w:val="0"/>
        </w:rPr>
        <w:t>First-ply envelopes or supported progressive ply-damage histories; criteria are not blended</w:t>
      </w:r>
    </w:p>
    <w:p>
      <w:pPr/>
      <w:r>
        <w:rPr>
          <w:b w:val="0"/>
          <w:i w:val="0"/>
        </w:rPr>
        <w:t>One primary failure criterion per load. In Response → Failure, compare all eligible theories or a custom selection in the envelope controls. Each theory runs independently; criteria are not blended.</w:t>
      </w:r>
    </w:p>
    <w:p>
      <w:pPr>
        <w:keepNext/>
      </w:pPr>
      <w:r>
        <w:rPr>
          <w:b/>
          <w:i w:val="0"/>
        </w:rPr>
        <w:t>Formulations and study choices</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hyperlink r:id="rId31">
        <w:r>
          <w:rPr>
            <w:color w:val="176EA4"/>
          </w:rPr>
          <w:t>∑ Theory &amp; assumptions</w:t>
        </w:r>
      </w:hyperlink>
      <w:r>
        <w:t xml:space="preserve"> </w:t>
      </w:r>
    </w:p>
    <w:p>
      <w:hyperlink r:id="rId32">
        <w:r>
          <w:rPr>
            <w:color w:val="176EA4"/>
          </w:rPr>
          <w:t>Guided exercise &amp; two-layer workflow </w:t>
        </w:r>
      </w:hyperlink>
      <w:r>
        <w:t xml:space="preserve"> </w:t>
      </w:r>
    </w:p>
    <w:p>
      <w:pPr/>
      <w:r>
        <w:rPr>
          <w:b w:val="0"/>
          <w:i w:val="0"/>
        </w:rPr>
        <w:t xml:space="preserve"> · </w:t>
      </w:r>
      <w:hyperlink r:id="rId108">
        <w:r>
          <w:rPr>
            <w:color w:val="176EA4"/>
          </w:rPr>
          <w:t>Failure equations</w:t>
        </w:r>
      </w:hyperlink>
      <w:r>
        <w:t xml:space="preserve"> </w:t>
      </w:r>
    </w:p>
    <w:p>
      <w:pPr/>
      <w:r>
        <w:rPr>
          <w:b w:val="0"/>
          <w:i w:val="0"/>
        </w:rPr>
        <w:t xml:space="preserve"> · </w:t>
      </w:r>
      <w:hyperlink r:id="rId109">
        <w:r>
          <w:rPr>
            <w:color w:val="176EA4"/>
          </w:rPr>
          <w:t>Implemented Workbench methods</w:t>
        </w:r>
      </w:hyperlink>
      <w:r>
        <w:t xml:space="preserve"> </w:t>
      </w:r>
    </w:p>
    <w:p>
      <w:pPr>
        <w:keepNext/>
      </w:pPr>
      <w:r>
        <w:rPr>
          <w:b/>
          <w:i w:val="0"/>
        </w:rPr>
        <w:t xml:space="preserve">∑ </w:t>
      </w:r>
      <w:r>
        <w:rPr>
          <w:b/>
          <w:i w:val="0"/>
        </w:rPr>
        <w:t xml:space="preserve"> </w:t>
      </w:r>
      <w:r>
        <w:rPr>
          <w:b/>
          <w:i w:val="0"/>
        </w:rPr>
        <w:t>Fatigue S–N</w:t>
      </w:r>
    </w:p>
    <w:p>
      <w:pPr/>
      <w:r>
        <w:rPr>
          <w:b w:val="0"/>
          <w:i w:val="0"/>
        </w:rPr>
        <w:t>Structural models → Laminate mechanics → Fatigue</w:t>
      </w:r>
    </w:p>
    <w:p>
      <w:r>
        <w:rPr>
          <w:b w:val="0"/>
          <w:i w:val="0"/>
        </w:rPr>
        <w:t>Inputs</w:t>
      </w:r>
      <w:r>
        <w:t xml:space="preserve"> </w:t>
      </w:r>
      <w:r>
        <w:rPr>
          <w:b w:val="0"/>
          <w:i w:val="0"/>
        </w:rPr>
        <w:t>Intact ply stresses, cyclic loads and measured S–N calibration</w:t>
      </w:r>
      <w:r>
        <w:t xml:space="preserve"> </w:t>
      </w:r>
      <w:r>
        <w:rPr>
          <w:b w:val="0"/>
          <w:i w:val="0"/>
        </w:rPr>
        <w:t>Results / handoff</w:t>
      </w:r>
      <w:r>
        <w:t xml:space="preserve"> </w:t>
      </w:r>
      <w:r>
        <w:rPr>
          <w:b w:val="0"/>
          <w:i w:val="0"/>
        </w:rPr>
        <w:t>Separate life assessment; no automatic laminate degradation</w:t>
      </w:r>
    </w:p>
    <w:p>
      <w:pPr/>
      <w:r>
        <w:rPr>
          <w:b w:val="0"/>
          <w:i w:val="0"/>
        </w:rPr>
        <w:t>Select calibrated S–N curves for each material, direction and stress sign in Fatigue. Different sources can use different models. S–N life does not define residual stiffness or strength.</w:t>
      </w:r>
    </w:p>
    <w:p>
      <w:pPr>
        <w:keepNext/>
      </w:pPr>
      <w:r>
        <w:rPr>
          <w:b/>
          <w:i w:val="0"/>
        </w:rPr>
        <w:t>Formulations and study choices</w:t>
      </w:r>
    </w:p>
    <w:p>
      <w:pPr>
        <w:pStyle w:val="ListBullet"/>
      </w:pPr>
      <w:r>
        <w:rPr>
          <w:b w:val="0"/>
          <w:i w:val="0"/>
        </w:rPr>
        <w:t>Kim–Zhang</w:t>
      </w:r>
    </w:p>
    <w:p>
      <w:pPr>
        <w:pStyle w:val="ListBullet"/>
      </w:pPr>
      <w:r>
        <w:rPr>
          <w:b w:val="0"/>
          <w:i w:val="0"/>
        </w:rPr>
        <w:t>Sendeckyj</w:t>
      </w:r>
    </w:p>
    <w:p>
      <w:pPr>
        <w:pStyle w:val="ListBullet"/>
      </w:pPr>
      <w:r>
        <w:rPr>
          <w:b w:val="0"/>
          <w:i w:val="0"/>
        </w:rPr>
        <w:t>Weibull S–N</w:t>
      </w:r>
    </w:p>
    <w:p>
      <w:pPr>
        <w:pStyle w:val="ListBullet"/>
      </w:pPr>
      <w:r>
        <w:rPr>
          <w:b w:val="0"/>
          <w:i w:val="0"/>
        </w:rPr>
        <w:t>Kohout–Vechet</w:t>
      </w:r>
    </w:p>
    <w:p>
      <w:pPr>
        <w:pStyle w:val="ListBullet"/>
      </w:pPr>
      <w:r>
        <w:rPr>
          <w:b w:val="0"/>
          <w:i w:val="0"/>
        </w:rPr>
        <w:t>Basquin</w:t>
      </w:r>
    </w:p>
    <w:p>
      <w:hyperlink r:id="rId13">
        <w:r>
          <w:rPr>
            <w:color w:val="176EA4"/>
          </w:rPr>
          <w:t>∑ Theory &amp; assumptions</w:t>
        </w:r>
      </w:hyperlink>
      <w:r>
        <w:t xml:space="preserve"> </w:t>
      </w:r>
    </w:p>
    <w:p>
      <w:hyperlink r:id="rId32">
        <w:r>
          <w:rPr>
            <w:color w:val="176EA4"/>
          </w:rPr>
          <w:t>Starter load case · add calibrated fatigue </w:t>
        </w:r>
      </w:hyperlink>
      <w:r>
        <w:t xml:space="preserve"> </w:t>
      </w:r>
    </w:p>
    <w:p>
      <w:pPr>
        <w:keepNext/>
      </w:pPr>
      <w:r>
        <w:rPr>
          <w:b/>
          <w:i w:val="0"/>
        </w:rPr>
        <w:t xml:space="preserve">∑ </w:t>
      </w:r>
      <w:r>
        <w:rPr>
          <w:b/>
          <w:i w:val="0"/>
        </w:rPr>
        <w:t xml:space="preserve"> </w:t>
      </w:r>
      <w:r>
        <w:rPr>
          <w:b/>
          <w:i w:val="0"/>
        </w:rPr>
        <w:t>D6641 · Compression coupon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small-strain compression using linked laminate Ex and thickness. Measured compressive strength supplies a screening ratio; fixture, tabs, buckling and failure evolution are not simulated.</w:t>
      </w:r>
    </w:p>
    <w:p>
      <w:pPr/>
      <w:r>
        <w:rPr>
          <w:b w:val="0"/>
          <w:i w:val="0"/>
        </w:rPr>
        <w:t>Uniform small-strain compression using linked laminate Ex and thickness. Measured compressive strength supplies a screening ratio; fixture, tabs, buckling and failure evolution are not simulated.</w:t>
      </w:r>
    </w:p>
    <w:p>
      <w:pPr>
        <w:keepNext/>
      </w:pPr>
      <w:r>
        <w:rPr>
          <w:b/>
          <w:i w:val="0"/>
        </w:rPr>
        <w:t>Formulations and study choices</w:t>
      </w:r>
    </w:p>
    <w:p>
      <w:pPr>
        <w:pStyle w:val="ListBullet"/>
      </w:pPr>
      <w:r>
        <w:rPr>
          <w:b w:val="0"/>
          <w:i w:val="0"/>
        </w:rPr>
        <w:t>Virtual test · compression coupon</w:t>
      </w:r>
    </w:p>
    <w:p>
      <w:hyperlink r:id="rId33">
        <w:r>
          <w:rPr>
            <w:color w:val="176EA4"/>
          </w:rPr>
          <w:t>∑ Theory &amp; assumptions</w:t>
        </w:r>
      </w:hyperlink>
      <w:r>
        <w:t xml:space="preserve"> </w:t>
      </w:r>
    </w:p>
    <w:p>
      <w:hyperlink r:id="rId34">
        <w:r>
          <w:rPr>
            <w:color w:val="176EA4"/>
          </w:rPr>
          <w:t>Guided exercise &amp; two-layer workflow </w:t>
        </w:r>
      </w:hyperlink>
      <w:r>
        <w:t xml:space="preserve"> </w:t>
      </w:r>
    </w:p>
    <w:p>
      <w:pPr>
        <w:keepNext/>
      </w:pPr>
      <w:r>
        <w:rPr>
          <w:b/>
          <w:i w:val="0"/>
        </w:rPr>
        <w:t xml:space="preserve">∑ </w:t>
      </w:r>
      <w:r>
        <w:rPr>
          <w:b/>
          <w:i w:val="0"/>
        </w:rPr>
        <w:t xml:space="preserve"> </w:t>
      </w:r>
      <w:r>
        <w:rPr>
          <w:b/>
          <w:i w:val="0"/>
        </w:rPr>
        <w:t>D5379 / D7078 · Shear coupon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r>
        <w:rPr>
          <w:b w:val="0"/>
          <w:i w:val="0"/>
        </w:rPr>
        <w:t>Uniform nominal shear between notches using linked laminate Gxy and thickness. Not a notch/fixture stress field or nonlinear shear solution. Gauge length is the effective shear deformation length, not crosshead travel.</w:t>
      </w:r>
    </w:p>
    <w:p>
      <w:pPr>
        <w:keepNext/>
      </w:pPr>
      <w:r>
        <w:rPr>
          <w:b/>
          <w:i w:val="0"/>
        </w:rPr>
        <w:t>Formulations and study choices</w:t>
      </w:r>
    </w:p>
    <w:p>
      <w:pPr>
        <w:pStyle w:val="ListBullet"/>
      </w:pPr>
      <w:r>
        <w:rPr>
          <w:b w:val="0"/>
          <w:i w:val="0"/>
        </w:rPr>
        <w:t>Virtual test · nominal shear coupon</w:t>
      </w:r>
    </w:p>
    <w:p>
      <w:hyperlink r:id="rId35">
        <w:r>
          <w:rPr>
            <w:color w:val="176EA4"/>
          </w:rPr>
          <w:t>∑ Theory &amp; assumptions</w:t>
        </w:r>
      </w:hyperlink>
      <w:r>
        <w:t xml:space="preserve"> </w:t>
      </w:r>
    </w:p>
    <w:p>
      <w:hyperlink r:id="rId36">
        <w:r>
          <w:rPr>
            <w:color w:val="176EA4"/>
          </w:rPr>
          <w:t>Guided exercise &amp; two-layer workflow </w:t>
        </w:r>
      </w:hyperlink>
      <w:r>
        <w:t xml:space="preserve"> </w:t>
      </w:r>
    </w:p>
    <w:p>
      <w:pPr>
        <w:keepNext/>
      </w:pPr>
      <w:r>
        <w:rPr>
          <w:b/>
          <w:i w:val="0"/>
        </w:rPr>
        <w:t xml:space="preserve">∑ </w:t>
      </w:r>
      <w:r>
        <w:rPr>
          <w:b/>
          <w:i w:val="0"/>
        </w:rPr>
        <w:t xml:space="preserve"> </w:t>
      </w:r>
      <w:r>
        <w:rPr>
          <w:b/>
          <w:i w:val="0"/>
        </w:rPr>
        <w:t>D5528 · DCB opening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r>
        <w:rPr>
          <w:b w:val="0"/>
          <w:i w:val="0"/>
        </w:rPr>
        <w:t>Ideal Euler–Bernoulli DCB with equal homogeneous 0° arms, each half the linked laminate thickness. No root rotation, shear, large displacement or cohesive growth. Critical load is an initiation estimate from supplied GIc.</w:t>
      </w:r>
    </w:p>
    <w:p>
      <w:pPr>
        <w:keepNext/>
      </w:pPr>
      <w:r>
        <w:rPr>
          <w:b/>
          <w:i w:val="0"/>
        </w:rPr>
        <w:t>Formulations and study choices</w:t>
      </w:r>
    </w:p>
    <w:p>
      <w:pPr>
        <w:pStyle w:val="ListBullet"/>
      </w:pPr>
      <w:r>
        <w:rPr>
          <w:b w:val="0"/>
          <w:i w:val="0"/>
        </w:rPr>
        <w:t>Virtual test · DCB beam compliance</w:t>
      </w:r>
    </w:p>
    <w:p>
      <w:hyperlink r:id="rId37">
        <w:r>
          <w:rPr>
            <w:color w:val="176EA4"/>
          </w:rPr>
          <w:t>∑ Theory &amp; assumptions</w:t>
        </w:r>
      </w:hyperlink>
      <w:r>
        <w:t xml:space="preserve"> </w:t>
      </w:r>
    </w:p>
    <w:p>
      <w:hyperlink r:id="rId38">
        <w:r>
          <w:rPr>
            <w:color w:val="176EA4"/>
          </w:rPr>
          <w:t>Guided exercise &amp; two-layer workflow </w:t>
        </w:r>
      </w:hyperlink>
      <w:r>
        <w:t xml:space="preserve"> </w:t>
      </w:r>
    </w:p>
    <w:p>
      <w:pPr>
        <w:keepNext/>
      </w:pPr>
      <w:r>
        <w:rPr>
          <w:b/>
          <w:i w:val="0"/>
        </w:rPr>
        <w:t xml:space="preserve">∑ </w:t>
      </w:r>
      <w:r>
        <w:rPr>
          <w:b/>
          <w:i w:val="0"/>
        </w:rPr>
        <w:t xml:space="preserve"> </w:t>
      </w:r>
      <w:r>
        <w:rPr>
          <w:b/>
          <w:i w:val="0"/>
        </w:rPr>
        <w:t>D7905 · ENF sliding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r>
        <w:rPr>
          <w:b w:val="0"/>
          <w:i w:val="0"/>
        </w:rPr>
        <w:t>Ideal equal-arm, homogeneous 0° ENF beam; support span is twice the half-span. Crack must be shorter than the half-span. No shear/root correction or unstable crack growth. GIIc is supplied, not fitted automatically.</w:t>
      </w:r>
    </w:p>
    <w:p>
      <w:pPr>
        <w:keepNext/>
      </w:pPr>
      <w:r>
        <w:rPr>
          <w:b/>
          <w:i w:val="0"/>
        </w:rPr>
        <w:t>Formulations and study choices</w:t>
      </w:r>
    </w:p>
    <w:p>
      <w:pPr>
        <w:pStyle w:val="ListBullet"/>
      </w:pPr>
      <w:r>
        <w:rPr>
          <w:b w:val="0"/>
          <w:i w:val="0"/>
        </w:rPr>
        <w:t>Virtual test · ENF beam compliance</w:t>
      </w:r>
    </w:p>
    <w:p>
      <w:hyperlink r:id="rId39">
        <w:r>
          <w:rPr>
            <w:color w:val="176EA4"/>
          </w:rPr>
          <w:t>∑ Theory &amp; assumptions</w:t>
        </w:r>
      </w:hyperlink>
      <w:r>
        <w:t xml:space="preserve"> </w:t>
      </w:r>
    </w:p>
    <w:p>
      <w:hyperlink r:id="rId40">
        <w:r>
          <w:rPr>
            <w:color w:val="176EA4"/>
          </w:rPr>
          <w:t>Guided exercise &amp; two-layer workflow </w:t>
        </w:r>
      </w:hyperlink>
      <w:r>
        <w:t xml:space="preserve"> </w:t>
      </w:r>
    </w:p>
    <w:p>
      <w:pPr>
        <w:keepNext/>
      </w:pPr>
      <w:r>
        <w:rPr>
          <w:b/>
          <w:i w:val="0"/>
        </w:rPr>
        <w:t xml:space="preserve">∑ </w:t>
      </w:r>
      <w:r>
        <w:rPr>
          <w:b/>
          <w:i w:val="0"/>
        </w:rPr>
        <w:t xml:space="preserve"> </w:t>
      </w:r>
      <w:r>
        <w:rPr>
          <w:b/>
          <w:i w:val="0"/>
        </w:rPr>
        <w:t>D6671 · Mixed-mode fracture envelope</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r>
        <w:rPr>
          <w:b w:val="0"/>
          <w:i w:val="0"/>
        </w:rPr>
        <w:t>Benzeggagh–Kenane envelope from calibrated GIc, GIIc and exponent. Supplied GI/GII are energy-release rates from a separate test reduction or analysis. This does not resolve the MMB lever fixture or propagate a crack.</w:t>
      </w:r>
    </w:p>
    <w:p>
      <w:pPr>
        <w:keepNext/>
      </w:pPr>
      <w:r>
        <w:rPr>
          <w:b/>
          <w:i w:val="0"/>
        </w:rPr>
        <w:t>Formulations and study choices</w:t>
      </w:r>
    </w:p>
    <w:p>
      <w:pPr>
        <w:pStyle w:val="ListBullet"/>
      </w:pPr>
      <w:r>
        <w:rPr>
          <w:b w:val="0"/>
          <w:i w:val="0"/>
        </w:rPr>
        <w:t>Virtual test · BK mixed-mode envelope</w:t>
      </w:r>
    </w:p>
    <w:p>
      <w:hyperlink r:id="rId41">
        <w:r>
          <w:rPr>
            <w:color w:val="176EA4"/>
          </w:rPr>
          <w:t>∑ Theory &amp; assumptions</w:t>
        </w:r>
      </w:hyperlink>
      <w:r>
        <w:t xml:space="preserve"> </w:t>
      </w:r>
    </w:p>
    <w:p>
      <w:hyperlink r:id="rId42">
        <w:r>
          <w:rPr>
            <w:color w:val="176EA4"/>
          </w:rPr>
          <w:t>Guided exercise &amp; two-layer workflow </w:t>
        </w:r>
      </w:hyperlink>
      <w:r>
        <w:t xml:space="preserve"> </w:t>
      </w:r>
    </w:p>
    <w:p>
      <w:pPr>
        <w:keepNext/>
      </w:pPr>
      <w:r>
        <w:rPr>
          <w:b/>
          <w:i w:val="0"/>
        </w:rPr>
        <w:t xml:space="preserve">∑ </w:t>
      </w:r>
      <w:r>
        <w:rPr>
          <w:b/>
          <w:i w:val="0"/>
        </w:rPr>
        <w:t xml:space="preserve"> </w:t>
      </w:r>
      <w:r>
        <w:rPr>
          <w:b/>
          <w:i w:val="0"/>
        </w:rPr>
        <w:t>D5229 · Moisture uptake calibration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keepNext/>
      </w:pPr>
      <w:r>
        <w:rPr>
          <w:b/>
          <w:i w:val="0"/>
        </w:rPr>
        <w:t>Formulations and study choices</w:t>
      </w:r>
    </w:p>
    <w:p>
      <w:pPr>
        <w:pStyle w:val="ListBullet"/>
      </w:pPr>
      <w:r>
        <w:rPr>
          <w:b w:val="0"/>
          <w:i w:val="0"/>
        </w:rPr>
        <w:t>Virtual test · Fickian uptake calibration</w:t>
      </w:r>
    </w:p>
    <w:p>
      <w:hyperlink r:id="rId43">
        <w:r>
          <w:rPr>
            <w:color w:val="176EA4"/>
          </w:rPr>
          <w:t>∑ Theory &amp; assumptions</w:t>
        </w:r>
      </w:hyperlink>
      <w:r>
        <w:t xml:space="preserve"> </w:t>
      </w:r>
    </w:p>
    <w:p>
      <w:hyperlink r:id="rId44">
        <w:r>
          <w:rPr>
            <w:color w:val="176EA4"/>
          </w:rPr>
          <w:t>Guided exercise &amp; two-layer workflow </w:t>
        </w:r>
      </w:hyperlink>
      <w:r>
        <w:t xml:space="preserve"> </w:t>
      </w:r>
    </w:p>
    <w:p>
      <w:pPr>
        <w:keepNext/>
      </w:pPr>
      <w:r>
        <w:rPr>
          <w:b/>
          <w:i w:val="0"/>
        </w:rPr>
        <w:t xml:space="preserve">∑ </w:t>
      </w:r>
      <w:r>
        <w:rPr>
          <w:b/>
          <w:i w:val="0"/>
        </w:rPr>
        <w:t xml:space="preserve"> </w:t>
      </w:r>
      <w:r>
        <w:rPr>
          <w:b/>
          <w:i w:val="0"/>
        </w:rPr>
        <w:t>D5961 · Bearing / bypass screening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keepNext/>
      </w:pPr>
      <w:r>
        <w:rPr>
          <w:b/>
          <w:i w:val="0"/>
        </w:rPr>
        <w:t>Formulations and study choices</w:t>
      </w:r>
    </w:p>
    <w:p>
      <w:pPr>
        <w:pStyle w:val="ListBullet"/>
      </w:pPr>
      <w:r>
        <w:rPr>
          <w:b w:val="0"/>
          <w:i w:val="0"/>
        </w:rPr>
        <w:t>Virtual test · bearing bypass screening</w:t>
      </w:r>
    </w:p>
    <w:p>
      <w:hyperlink r:id="rId45">
        <w:r>
          <w:rPr>
            <w:color w:val="176EA4"/>
          </w:rPr>
          <w:t>∑ Theory &amp; assumptions</w:t>
        </w:r>
      </w:hyperlink>
      <w:r>
        <w:t xml:space="preserve"> </w:t>
      </w:r>
    </w:p>
    <w:p>
      <w:hyperlink r:id="rId46">
        <w:r>
          <w:rPr>
            <w:color w:val="176EA4"/>
          </w:rPr>
          <w:t>Guided exercise &amp; two-layer workflow </w:t>
        </w:r>
      </w:hyperlink>
      <w:r>
        <w:t xml:space="preserve"> </w:t>
      </w:r>
    </w:p>
    <w:p>
      <w:pPr>
        <w:keepNext/>
      </w:pPr>
      <w:r>
        <w:rPr>
          <w:b/>
          <w:i w:val="0"/>
        </w:rPr>
        <w:t xml:space="preserve">∑ </w:t>
      </w:r>
      <w:r>
        <w:rPr>
          <w:b/>
          <w:i w:val="0"/>
        </w:rPr>
        <w:t xml:space="preserve"> </w:t>
      </w:r>
      <w:r>
        <w:rPr>
          <w:b/>
          <w:i w:val="0"/>
        </w:rPr>
        <w:t>D6484 · Open-hole compression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keepNext/>
      </w:pPr>
      <w:r>
        <w:rPr>
          <w:b/>
          <w:i w:val="0"/>
        </w:rPr>
        <w:t>Formulations and study choices</w:t>
      </w:r>
    </w:p>
    <w:p>
      <w:pPr>
        <w:pStyle w:val="ListBullet"/>
      </w:pPr>
      <w:r>
        <w:rPr>
          <w:b w:val="0"/>
          <w:i w:val="0"/>
        </w:rPr>
        <w:t>Virtual test · measured open-hole compression</w:t>
      </w:r>
    </w:p>
    <w:p>
      <w:hyperlink r:id="rId47">
        <w:r>
          <w:rPr>
            <w:color w:val="176EA4"/>
          </w:rPr>
          <w:t>∑ Theory &amp; assumptions</w:t>
        </w:r>
      </w:hyperlink>
      <w:r>
        <w:t xml:space="preserve"> </w:t>
      </w:r>
    </w:p>
    <w:p>
      <w:hyperlink r:id="rId48">
        <w:r>
          <w:rPr>
            <w:color w:val="176EA4"/>
          </w:rPr>
          <w:t>Guided exercise &amp; two-layer workflow </w:t>
        </w:r>
      </w:hyperlink>
      <w:r>
        <w:t xml:space="preserve"> </w:t>
      </w:r>
    </w:p>
    <w:p>
      <w:pPr>
        <w:keepNext/>
      </w:pPr>
      <w:r>
        <w:rPr>
          <w:b/>
          <w:i w:val="0"/>
        </w:rPr>
        <w:t xml:space="preserve">∑ </w:t>
      </w:r>
      <w:r>
        <w:rPr>
          <w:b/>
          <w:i w:val="0"/>
        </w:rPr>
        <w:t xml:space="preserve"> </w:t>
      </w:r>
      <w:r>
        <w:rPr>
          <w:b/>
          <w:i w:val="0"/>
        </w:rPr>
        <w:t>D6742 · Filled-hole comparison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keepNext/>
      </w:pPr>
      <w:r>
        <w:rPr>
          <w:b/>
          <w:i w:val="0"/>
        </w:rPr>
        <w:t>Formulations and study choices</w:t>
      </w:r>
    </w:p>
    <w:p>
      <w:pPr>
        <w:pStyle w:val="ListBullet"/>
      </w:pPr>
      <w:r>
        <w:rPr>
          <w:b w:val="0"/>
          <w:i w:val="0"/>
        </w:rPr>
        <w:t>Virtual test · measured filled-hole comparison</w:t>
      </w:r>
    </w:p>
    <w:p>
      <w:hyperlink r:id="rId49">
        <w:r>
          <w:rPr>
            <w:color w:val="176EA4"/>
          </w:rPr>
          <w:t>∑ Theory &amp; assumptions</w:t>
        </w:r>
      </w:hyperlink>
      <w:r>
        <w:t xml:space="preserve"> </w:t>
      </w:r>
    </w:p>
    <w:p>
      <w:hyperlink r:id="rId50">
        <w:r>
          <w:rPr>
            <w:color w:val="176EA4"/>
          </w:rPr>
          <w:t>Guided exercise &amp; two-layer workflow </w:t>
        </w:r>
      </w:hyperlink>
      <w:r>
        <w:t xml:space="preserve"> </w:t>
      </w:r>
    </w:p>
    <w:p>
      <w:pPr>
        <w:keepNext/>
      </w:pPr>
      <w:r>
        <w:rPr>
          <w:b/>
          <w:i w:val="0"/>
        </w:rPr>
        <w:t xml:space="preserve">∑ </w:t>
      </w:r>
      <w:r>
        <w:rPr>
          <w:b/>
          <w:i w:val="0"/>
        </w:rPr>
        <w:t xml:space="preserve"> </w:t>
      </w:r>
      <w:r>
        <w:rPr>
          <w:b/>
          <w:i w:val="0"/>
        </w:rPr>
        <w:t>D7136 / D7137 · Impact &amp; CAI assessment</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keepNext/>
      </w:pPr>
      <w:r>
        <w:rPr>
          <w:b/>
          <w:i w:val="0"/>
        </w:rPr>
        <w:t>Formulations and study choices</w:t>
      </w:r>
    </w:p>
    <w:p>
      <w:pPr>
        <w:pStyle w:val="ListBullet"/>
      </w:pPr>
      <w:r>
        <w:rPr>
          <w:b w:val="0"/>
          <w:i w:val="0"/>
        </w:rPr>
        <w:t>Virtual test · measured impact and CAI</w:t>
      </w:r>
    </w:p>
    <w:p>
      <w:hyperlink r:id="rId51">
        <w:r>
          <w:rPr>
            <w:color w:val="176EA4"/>
          </w:rPr>
          <w:t>∑ Theory &amp; assumptions</w:t>
        </w:r>
      </w:hyperlink>
      <w:r>
        <w:t xml:space="preserve"> </w:t>
      </w:r>
    </w:p>
    <w:p>
      <w:hyperlink r:id="rId52">
        <w:r>
          <w:rPr>
            <w:color w:val="176EA4"/>
          </w:rPr>
          <w:t>Guided exercise &amp; two-layer workflow </w:t>
        </w:r>
      </w:hyperlink>
      <w:r>
        <w:t xml:space="preserve"> </w:t>
      </w:r>
    </w:p>
    <w:p>
      <w:pPr>
        <w:keepNext/>
      </w:pPr>
      <w:r>
        <w:rPr>
          <w:b/>
          <w:i w:val="0"/>
        </w:rPr>
        <w:t xml:space="preserve">∑ </w:t>
      </w:r>
      <w:r>
        <w:rPr>
          <w:b/>
          <w:i w:val="0"/>
        </w:rPr>
        <w:t xml:space="preserve"> </w:t>
      </w:r>
      <w:r>
        <w:rPr>
          <w:b/>
          <w:i w:val="0"/>
        </w:rPr>
        <w:t>Open-hole strength</w:t>
      </w:r>
    </w:p>
    <w:p>
      <w:pPr/>
      <w:r>
        <w:rPr>
          <w:b w:val="0"/>
          <w:i w:val="0"/>
        </w:rPr>
        <w:t>Structural models → Laminate mechanics → Failure criteria → Open-hole strength</w:t>
      </w:r>
    </w:p>
    <w:p>
      <w:r>
        <w:rPr>
          <w:b w:val="0"/>
          <w:i w:val="0"/>
        </w:rPr>
        <w:t>Inputs</w:t>
      </w:r>
      <w:r>
        <w:t xml:space="preserve"> </w:t>
      </w:r>
      <w:r>
        <w:rPr>
          <w:b w:val="0"/>
          <w:i w:val="0"/>
        </w:rPr>
        <w:t>Specially orthotropic laminate, hole radius, unnotched strength and calibrated distances</w:t>
      </w:r>
      <w:r>
        <w:t xml:space="preserve"> </w:t>
      </w:r>
      <w:r>
        <w:rPr>
          <w:b w:val="0"/>
          <w:i w:val="0"/>
        </w:rPr>
        <w:t>Results / handoff</w:t>
      </w:r>
      <w:r>
        <w:t xml:space="preserve"> </w:t>
      </w:r>
      <w:r>
        <w:rPr>
          <w:b w:val="0"/>
          <w:i w:val="0"/>
        </w:rPr>
        <w:t>Point / average stress strength screening and radial stress profile</w:t>
      </w:r>
    </w:p>
    <w:p>
      <w:pPr/>
      <w:r>
        <w:rPr>
          <w:b w:val="0"/>
          <w:i w:val="0"/>
        </w:rPr>
        <w:t>Infinite-width, specially orthotropic tension screening. Point and average stress distances must be calibrated independently for this laminate. Not compression, bearing or a joint allowable.</w:t>
      </w:r>
    </w:p>
    <w:p>
      <w:pPr>
        <w:keepNext/>
      </w:pPr>
      <w:r>
        <w:rPr>
          <w:b/>
          <w:i w:val="0"/>
        </w:rPr>
        <w:t>Formulations and study choices</w:t>
      </w:r>
    </w:p>
    <w:p>
      <w:pPr>
        <w:pStyle w:val="ListBullet"/>
      </w:pPr>
      <w:r>
        <w:rPr>
          <w:b w:val="0"/>
          <w:i w:val="0"/>
        </w:rPr>
        <w:t>Whitney–Nuismer open-hole tension</w:t>
      </w:r>
    </w:p>
    <w:p>
      <w:hyperlink r:id="rId53">
        <w:r>
          <w:rPr>
            <w:color w:val="176EA4"/>
          </w:rPr>
          <w:t>∑ Theory &amp; assumptions</w:t>
        </w:r>
      </w:hyperlink>
      <w:r>
        <w:t xml:space="preserve"> </w:t>
      </w:r>
    </w:p>
    <w:p>
      <w:hyperlink r:id="rId54">
        <w:r>
          <w:rPr>
            <w:color w:val="176EA4"/>
          </w:rPr>
          <w:t>Guided exercise &amp; two-layer workflow </w:t>
        </w:r>
      </w:hyperlink>
      <w:r>
        <w:t xml:space="preserve"> </w:t>
      </w:r>
    </w:p>
    <w:p>
      <w:pPr>
        <w:keepNext/>
      </w:pPr>
      <w:r>
        <w:rPr>
          <w:b/>
          <w:i w:val="0"/>
        </w:rPr>
        <w:t xml:space="preserve">∑ </w:t>
      </w:r>
      <w:r>
        <w:rPr>
          <w:b/>
          <w:i w:val="0"/>
        </w:rPr>
        <w:t xml:space="preserve"> </w:t>
      </w:r>
      <w:r>
        <w:rPr>
          <w:b/>
          <w:i w:val="0"/>
        </w:rPr>
        <w:t>Creep &amp; stress relaxation</w:t>
      </w:r>
    </w:p>
    <w:p>
      <w:pPr/>
      <w:r>
        <w:rPr>
          <w:b w:val="0"/>
          <w:i w:val="0"/>
        </w:rPr>
        <w:t>Structural models → Laminate mechanics → Creep &amp; stress relaxation</w:t>
      </w:r>
    </w:p>
    <w:p>
      <w:r>
        <w:rPr>
          <w:b w:val="0"/>
          <w:i w:val="0"/>
        </w:rPr>
        <w:t>Inputs</w:t>
      </w:r>
      <w:r>
        <w:t xml:space="preserve"> </w:t>
      </w:r>
      <w:r>
        <w:rPr>
          <w:b w:val="0"/>
          <w:i w:val="0"/>
        </w:rPr>
        <w:t>Laminate Ex, Prony fractions / times and held stress or strain at calibration temperature</w:t>
      </w:r>
      <w:r>
        <w:t xml:space="preserve"> </w:t>
      </w:r>
      <w:r>
        <w:rPr>
          <w:b w:val="0"/>
          <w:i w:val="0"/>
        </w:rPr>
        <w:t>Results / handoff</w:t>
      </w:r>
      <w:r>
        <w:t xml:space="preserve"> </w:t>
      </w:r>
      <w:r>
        <w:rPr>
          <w:b w:val="0"/>
          <w:i w:val="0"/>
        </w:rPr>
        <w:t>Separate axial creep and relaxation curves with time-refinement safeguards</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keepNext/>
      </w:pPr>
      <w:r>
        <w:rPr>
          <w:b/>
          <w:i w:val="0"/>
        </w:rPr>
        <w:t>Formulations and study choices</w:t>
      </w:r>
    </w:p>
    <w:p>
      <w:pPr>
        <w:pStyle w:val="ListBullet"/>
      </w:pPr>
      <w:r>
        <w:rPr>
          <w:b w:val="0"/>
          <w:i w:val="0"/>
        </w:rPr>
        <w:t>Generalized Maxwell · axial Prony</w:t>
      </w:r>
    </w:p>
    <w:p>
      <w:hyperlink r:id="rId55">
        <w:r>
          <w:rPr>
            <w:color w:val="176EA4"/>
          </w:rPr>
          <w:t>∑ Theory &amp; assumptions</w:t>
        </w:r>
      </w:hyperlink>
      <w:r>
        <w:t xml:space="preserve"> </w:t>
      </w:r>
    </w:p>
    <w:p>
      <w:hyperlink r:id="rId56">
        <w:r>
          <w:rPr>
            <w:color w:val="176EA4"/>
          </w:rPr>
          <w:t>Guided exercise &amp; two-layer workflow </w:t>
        </w:r>
      </w:hyperlink>
      <w:r>
        <w:t xml:space="preserve"> </w:t>
      </w:r>
    </w:p>
    <w:p>
      <w:pPr>
        <w:keepNext/>
      </w:pPr>
      <w:r>
        <w:rPr>
          <w:b/>
          <w:i w:val="0"/>
        </w:rPr>
        <w:t xml:space="preserve">∑ </w:t>
      </w:r>
      <w:r>
        <w:rPr>
          <w:b/>
          <w:i w:val="0"/>
        </w:rPr>
        <w:t xml:space="preserve"> </w:t>
      </w:r>
      <w:r>
        <w:rPr>
          <w:b/>
          <w:i w:val="0"/>
        </w:rPr>
        <w:t>Analytical bonded joint</w:t>
      </w:r>
    </w:p>
    <w:p>
      <w:pPr/>
      <w:r>
        <w:rPr>
          <w:b w:val="0"/>
          <w:i w:val="0"/>
        </w:rPr>
        <w:t>Structural models → Layerwise sections &amp; joints → Analytical bonded joint</w:t>
      </w:r>
    </w:p>
    <w:p>
      <w:r>
        <w:rPr>
          <w:b w:val="0"/>
          <w:i w:val="0"/>
        </w:rPr>
        <w:t>Inputs</w:t>
      </w:r>
      <w:r>
        <w:t xml:space="preserve"> </w:t>
      </w:r>
      <w:r>
        <w:rPr>
          <w:b w:val="0"/>
          <w:i w:val="0"/>
        </w:rPr>
        <w:t>Identical equivalent-elastic adherends, adhesive, overlap, width and tensile force</w:t>
      </w:r>
      <w:r>
        <w:t xml:space="preserve"> </w:t>
      </w:r>
      <w:r>
        <w:rPr>
          <w:b w:val="0"/>
          <w:i w:val="0"/>
        </w:rPr>
        <w:t>Results / handoff</w:t>
      </w:r>
      <w:r>
        <w:t xml:space="preserve"> </w:t>
      </w:r>
      <w:r>
        <w:rPr>
          <w:b w:val="0"/>
          <w:i w:val="0"/>
        </w:rPr>
        <w:t>Volkersen shear and Goland–Reissner shear / peel; no debond growth</w:t>
      </w:r>
    </w:p>
    <w:p>
      <w:pPr/>
      <w:r>
        <w:rPr>
          <w:b w:val="0"/>
          <w:i w:val="0"/>
        </w:rPr>
        <w:t>Identical equivalent-elastic adherends, long free arms and a thin elastic adhesive. Compare shear-only Volkersen with eccentric single-lap shear and peel. Not a debonding, plasticity or strength calculation.</w:t>
      </w:r>
    </w:p>
    <w:p>
      <w:pPr>
        <w:keepNext/>
      </w:pPr>
      <w:r>
        <w:rPr>
          <w:b/>
          <w:i w:val="0"/>
        </w:rPr>
        <w:t>Formulations and study choices</w:t>
      </w:r>
    </w:p>
    <w:p>
      <w:pPr>
        <w:pStyle w:val="ListBullet"/>
      </w:pPr>
      <w:r>
        <w:rPr>
          <w:b w:val="0"/>
          <w:i w:val="0"/>
        </w:rPr>
        <w:t>Volkersen &amp; Goland–Reissner joint</w:t>
      </w:r>
    </w:p>
    <w:p>
      <w:hyperlink r:id="rId57">
        <w:r>
          <w:rPr>
            <w:color w:val="176EA4"/>
          </w:rPr>
          <w:t>∑ Theory &amp; assumptions</w:t>
        </w:r>
      </w:hyperlink>
      <w:r>
        <w:t xml:space="preserve"> </w:t>
      </w:r>
    </w:p>
    <w:p>
      <w:hyperlink r:id="rId58">
        <w:r>
          <w:rPr>
            <w:color w:val="176EA4"/>
          </w:rPr>
          <w:t>Guided exercise &amp; two-layer workflow </w:t>
        </w:r>
      </w:hyperlink>
      <w:r>
        <w:t xml:space="preserve"> </w:t>
      </w:r>
    </w:p>
    <w:p>
      <w:pPr>
        <w:keepNext/>
      </w:pPr>
      <w:r>
        <w:rPr>
          <w:b/>
          <w:i w:val="0"/>
        </w:rPr>
        <w:t xml:space="preserve">∑ </w:t>
      </w:r>
      <w:r>
        <w:rPr>
          <w:b/>
          <w:i w:val="0"/>
        </w:rPr>
        <w:t xml:space="preserve"> </w:t>
      </w:r>
      <w:r>
        <w:rPr>
          <w:b/>
          <w:i w:val="0"/>
        </w:rPr>
        <w:t>LaRC04 failure initiation</w:t>
      </w:r>
    </w:p>
    <w:p>
      <w:pPr/>
      <w:r>
        <w:rPr>
          <w:b w:val="0"/>
          <w:i w:val="0"/>
        </w:rPr>
        <w:t>Structural models → Laminate mechanics → Failure criteria → LaRC04</w:t>
      </w:r>
    </w:p>
    <w:p>
      <w:r>
        <w:rPr>
          <w:b w:val="0"/>
          <w:i w:val="0"/>
        </w:rPr>
        <w:t>Inputs</w:t>
      </w:r>
      <w:r>
        <w:t xml:space="preserve"> </w:t>
      </w:r>
      <w:r>
        <w:rPr>
          <w:b w:val="0"/>
          <w:i w:val="0"/>
        </w:rPr>
        <w:t>Laminate, membrane / bending resultants and calibrated effective ply strengths</w:t>
      </w:r>
      <w:r>
        <w:t xml:space="preserve"> </w:t>
      </w:r>
      <w:r>
        <w:rPr>
          <w:b w:val="0"/>
          <w:i w:val="0"/>
        </w:rPr>
        <w:t>Results / handoff</w:t>
      </w:r>
      <w:r>
        <w:t xml:space="preserve"> </w:t>
      </w:r>
      <w:r>
        <w:rPr>
          <w:b w:val="0"/>
          <w:i w:val="0"/>
        </w:rPr>
        <w:t>Linear-shear LaRC04 initiation indices at ply faces; no progressive degradation</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keepNext/>
      </w:pPr>
      <w:r>
        <w:rPr>
          <w:b/>
          <w:i w:val="0"/>
        </w:rPr>
        <w:t>Formulations and study choices</w:t>
      </w:r>
    </w:p>
    <w:p>
      <w:pPr>
        <w:pStyle w:val="ListBullet"/>
      </w:pPr>
      <w:r>
        <w:rPr>
          <w:b w:val="0"/>
          <w:i w:val="0"/>
        </w:rPr>
        <w:t>LaRC04 · linear shear</w:t>
      </w:r>
    </w:p>
    <w:p>
      <w:hyperlink r:id="rId59">
        <w:r>
          <w:rPr>
            <w:color w:val="176EA4"/>
          </w:rPr>
          <w:t>∑ Theory &amp; assumptions</w:t>
        </w:r>
      </w:hyperlink>
      <w:r>
        <w:t xml:space="preserve"> </w:t>
      </w:r>
    </w:p>
    <w:p>
      <w:hyperlink r:id="rId60">
        <w:r>
          <w:rPr>
            <w:color w:val="176EA4"/>
          </w:rPr>
          <w:t>Guided exercise &amp; two-layer workflow </w:t>
        </w:r>
      </w:hyperlink>
      <w:r>
        <w:t xml:space="preserve"> </w:t>
      </w:r>
    </w:p>
    <w:p>
      <w:pPr>
        <w:keepNext/>
      </w:pPr>
      <w:r>
        <w:rPr>
          <w:b/>
          <w:i w:val="0"/>
        </w:rPr>
        <w:t xml:space="preserve">∑ </w:t>
      </w:r>
      <w:r>
        <w:rPr>
          <w:b/>
          <w:i w:val="0"/>
        </w:rPr>
        <w:t xml:space="preserve"> </w:t>
      </w:r>
      <w:r>
        <w:rPr>
          <w:b/>
          <w:i w:val="0"/>
        </w:rPr>
        <w:t>Tool-release shape</w:t>
      </w:r>
    </w:p>
    <w:p>
      <w:pPr/>
      <w:r>
        <w:rPr>
          <w:b w:val="0"/>
          <w:i w:val="0"/>
        </w:rPr>
        <w:t>Structural models → Tool-release shape</w:t>
      </w:r>
    </w:p>
    <w:p>
      <w:r>
        <w:rPr>
          <w:b w:val="0"/>
          <w:i w:val="0"/>
        </w:rPr>
        <w:t>Inputs</w:t>
      </w:r>
      <w:r>
        <w:t xml:space="preserve"> </w:t>
      </w:r>
      <w:r>
        <w:rPr>
          <w:b w:val="0"/>
          <w:i w:val="0"/>
        </w:rPr>
        <w:t>Laminate and prescribed temperatures, CTE and effective post-gel shrinkage</w:t>
      </w:r>
      <w:r>
        <w:t xml:space="preserve"> </w:t>
      </w:r>
      <w:r>
        <w:rPr>
          <w:b w:val="0"/>
          <w:i w:val="0"/>
        </w:rPr>
        <w:t>Results / handoff</w:t>
      </w:r>
      <w:r>
        <w:t xml:space="preserve"> </w:t>
      </w:r>
      <w:r>
        <w:rPr>
          <w:b w:val="0"/>
          <w:i w:val="0"/>
        </w:rPr>
        <w:t>Free-release CLT curvature and separate corner spring-in estimate; not an automatic process-history handoff</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keepNext/>
      </w:pPr>
      <w:r>
        <w:rPr>
          <w:b/>
          <w:i w:val="0"/>
        </w:rPr>
        <w:t>Formulations and study choices</w:t>
      </w:r>
    </w:p>
    <w:p>
      <w:pPr>
        <w:pStyle w:val="ListBullet"/>
      </w:pPr>
      <w:r>
        <w:rPr>
          <w:b w:val="0"/>
          <w:i w:val="0"/>
        </w:rPr>
        <w:t>Free-release eigenstrain &amp; spring-in</w:t>
      </w:r>
    </w:p>
    <w:p>
      <w:hyperlink r:id="rId61">
        <w:r>
          <w:rPr>
            <w:color w:val="176EA4"/>
          </w:rPr>
          <w:t>∑ Theory &amp; assumptions</w:t>
        </w:r>
      </w:hyperlink>
      <w:r>
        <w:t xml:space="preserve"> </w:t>
      </w:r>
    </w:p>
    <w:p>
      <w:hyperlink r:id="rId62">
        <w:r>
          <w:rPr>
            <w:color w:val="176EA4"/>
          </w:rPr>
          <w:t>Guided exercise &amp; two-layer workflow </w:t>
        </w:r>
      </w:hyperlink>
      <w:r>
        <w:t xml:space="preserve"> </w:t>
      </w:r>
    </w:p>
    <w:p>
      <w:pPr>
        <w:keepNext/>
      </w:pPr>
      <w:r>
        <w:rPr>
          <w:b/>
          <w:i w:val="0"/>
        </w:rPr>
        <w:t xml:space="preserve">∑ </w:t>
      </w:r>
      <w:r>
        <w:rPr>
          <w:b/>
          <w:i w:val="0"/>
        </w:rPr>
        <w:t xml:space="preserve"> </w:t>
      </w:r>
      <w:r>
        <w:rPr>
          <w:b/>
          <w:i w:val="0"/>
        </w:rPr>
        <w:t>Fatigue residual properties</w:t>
      </w:r>
    </w:p>
    <w:p>
      <w:pPr/>
      <w:r>
        <w:rPr>
          <w:b w:val="0"/>
          <w:i w:val="0"/>
        </w:rPr>
        <w:t>Structural models → Laminate mechanics → Fatigue → Residual properties</w:t>
      </w:r>
    </w:p>
    <w:p>
      <w:r>
        <w:rPr>
          <w:b w:val="0"/>
          <w:i w:val="0"/>
        </w:rPr>
        <w:t>Inputs</w:t>
      </w:r>
      <w:r>
        <w:t xml:space="preserve"> </w:t>
      </w:r>
      <w:r>
        <w:rPr>
          <w:b w:val="0"/>
          <w:i w:val="0"/>
        </w:rPr>
        <w:t>Modulus, independently fitted stiffness / strength retention laws, life and elapsed cycles</w:t>
      </w:r>
      <w:r>
        <w:t xml:space="preserve"> </w:t>
      </w:r>
      <w:r>
        <w:rPr>
          <w:b w:val="0"/>
          <w:i w:val="0"/>
        </w:rPr>
        <w:t>Results / handoff</w:t>
      </w:r>
      <w:r>
        <w:t xml:space="preserve"> </w:t>
      </w:r>
      <w:r>
        <w:rPr>
          <w:b w:val="0"/>
          <w:i w:val="0"/>
        </w:rPr>
        <w:t>Residual-property curves for the specified constant-amplitude calibration; saved laminate is unchanged</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pPr>
        <w:keepNext/>
      </w:pPr>
      <w:r>
        <w:rPr>
          <w:b/>
          <w:i w:val="0"/>
        </w:rPr>
        <w:t>Formulations and study choices</w:t>
      </w:r>
    </w:p>
    <w:p>
      <w:pPr>
        <w:pStyle w:val="ListBullet"/>
      </w:pPr>
      <w:r>
        <w:rPr>
          <w:b w:val="0"/>
          <w:i w:val="0"/>
        </w:rPr>
        <w:t>Calibrated residual-property fatigue</w:t>
      </w:r>
    </w:p>
    <w:p>
      <w:hyperlink r:id="rId63">
        <w:r>
          <w:rPr>
            <w:color w:val="176EA4"/>
          </w:rPr>
          <w:t>∑ Theory &amp; assumptions</w:t>
        </w:r>
      </w:hyperlink>
      <w:r>
        <w:t xml:space="preserve"> </w:t>
      </w:r>
    </w:p>
    <w:p>
      <w:hyperlink r:id="rId64">
        <w:r>
          <w:rPr>
            <w:color w:val="176EA4"/>
          </w:rPr>
          <w:t>Guided exercise &amp; two-layer workflow </w:t>
        </w:r>
      </w:hyperlink>
      <w:r>
        <w:t xml:space="preserve"> </w:t>
      </w:r>
    </w:p>
    <w:p>
      <w:pPr>
        <w:keepNext/>
      </w:pPr>
      <w:r>
        <w:rPr>
          <w:b/>
          <w:i w:val="0"/>
        </w:rPr>
        <w:t xml:space="preserve">∑ </w:t>
      </w:r>
      <w:r>
        <w:rPr>
          <w:b/>
          <w:i w:val="0"/>
        </w:rPr>
        <w:t xml:space="preserve"> </w:t>
      </w:r>
      <w:r>
        <w:rPr>
          <w:b/>
          <w:i w:val="0"/>
        </w:rPr>
        <w:t>Cylinder buckling</w:t>
      </w:r>
    </w:p>
    <w:p>
      <w:pPr/>
      <w:r>
        <w:rPr>
          <w:b w:val="0"/>
          <w:i w:val="0"/>
        </w:rPr>
        <w:t>Structural models → Cylinder models → Cylinder buckling</w:t>
      </w:r>
    </w:p>
    <w:p>
      <w:r>
        <w:rPr>
          <w:b w:val="0"/>
          <w:i w:val="0"/>
        </w:rPr>
        <w:t>Inputs</w:t>
      </w:r>
      <w:r>
        <w:t xml:space="preserve"> </w:t>
      </w:r>
      <w:r>
        <w:rPr>
          <w:b w:val="0"/>
          <w:i w:val="0"/>
        </w:rPr>
        <w:t>Thin specially orthotropic shell, radius, length, axial compression and prescribed knockdown</w:t>
      </w:r>
      <w:r>
        <w:t xml:space="preserve"> </w:t>
      </w:r>
      <w:r>
        <w:rPr>
          <w:b w:val="0"/>
          <w:i w:val="0"/>
        </w:rPr>
        <w:t>Results / handoff</w:t>
      </w:r>
      <w:r>
        <w:t xml:space="preserve"> </w:t>
      </w:r>
      <w:r>
        <w:rPr>
          <w:b w:val="0"/>
          <w:i w:val="0"/>
        </w:rPr>
        <w:t>Ideal / knocked-down Donnell axial buckling and governing mode; no pressure or postbuckling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keepNext/>
      </w:pPr>
      <w:r>
        <w:rPr>
          <w:b/>
          <w:i w:val="0"/>
        </w:rPr>
        <w:t>Formulations and study choices</w:t>
      </w:r>
    </w:p>
    <w:p>
      <w:pPr>
        <w:pStyle w:val="ListBullet"/>
      </w:pPr>
      <w:r>
        <w:rPr>
          <w:b w:val="0"/>
          <w:i w:val="0"/>
        </w:rPr>
        <w:t>Donnell cylinder · axial buckling</w:t>
      </w:r>
    </w:p>
    <w:p>
      <w:hyperlink r:id="rId65">
        <w:r>
          <w:rPr>
            <w:color w:val="176EA4"/>
          </w:rPr>
          <w:t>∑ Theory &amp; assumptions</w:t>
        </w:r>
      </w:hyperlink>
      <w:r>
        <w:t xml:space="preserve"> </w:t>
      </w:r>
    </w:p>
    <w:p>
      <w:hyperlink r:id="rId66">
        <w:r>
          <w:rPr>
            <w:color w:val="176EA4"/>
          </w:rPr>
          <w:t>Guided exercise &amp; two-layer workflow </w:t>
        </w:r>
      </w:hyperlink>
      <w:r>
        <w:t xml:space="preserve"> </w:t>
      </w:r>
    </w:p>
    <w:p>
      <w:pPr>
        <w:keepNext/>
      </w:pPr>
      <w:r>
        <w:rPr>
          <w:b/>
          <w:i w:val="0"/>
        </w:rPr>
        <w:t xml:space="preserve">∑ </w:t>
      </w:r>
      <w:r>
        <w:rPr>
          <w:b/>
          <w:i w:val="0"/>
        </w:rPr>
        <w:t xml:space="preserve"> </w:t>
      </w:r>
      <w:r>
        <w:rPr>
          <w:b/>
          <w:i w:val="0"/>
        </w:rPr>
        <w:t>Uncertainty &amp; sensitivity</w:t>
      </w:r>
    </w:p>
    <w:p>
      <w:pPr/>
      <w:r>
        <w:rPr>
          <w:b w:val="0"/>
          <w:i w:val="0"/>
        </w:rPr>
        <w:t>Structural models → Uncertainty &amp; sensitivity</w:t>
      </w:r>
    </w:p>
    <w:p>
      <w:r>
        <w:rPr>
          <w:b w:val="0"/>
          <w:i w:val="0"/>
        </w:rPr>
        <w:t>Inputs</w:t>
      </w:r>
      <w:r>
        <w:t xml:space="preserve"> </w:t>
      </w:r>
      <w:r>
        <w:rPr>
          <w:b w:val="0"/>
          <w:i w:val="0"/>
        </w:rPr>
        <w:t>Laminate, bounded modulus / thickness / angle variations, seed and axial load</w:t>
      </w:r>
      <w:r>
        <w:t xml:space="preserve"> </w:t>
      </w:r>
      <w:r>
        <w:rPr>
          <w:b w:val="0"/>
          <w:i w:val="0"/>
        </w:rPr>
        <w:t>Results / handoff</w:t>
      </w:r>
      <w:r>
        <w:t xml:space="preserve"> </w:t>
      </w:r>
      <w:r>
        <w:rPr>
          <w:b w:val="0"/>
          <w:i w:val="0"/>
        </w:rPr>
        <w:t>ABD axial-strain percentiles and signed correlations; not certified reliability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keepNext/>
      </w:pPr>
      <w:r>
        <w:rPr>
          <w:b/>
          <w:i w:val="0"/>
        </w:rPr>
        <w:t>Formulations and study choices</w:t>
      </w:r>
    </w:p>
    <w:p>
      <w:pPr>
        <w:pStyle w:val="ListBullet"/>
      </w:pPr>
      <w:r>
        <w:rPr>
          <w:b w:val="0"/>
          <w:i w:val="0"/>
        </w:rPr>
        <w:t>Seeded laminate uncertainty</w:t>
      </w:r>
    </w:p>
    <w:p>
      <w:hyperlink r:id="rId67">
        <w:r>
          <w:rPr>
            <w:color w:val="176EA4"/>
          </w:rPr>
          <w:t>∑ Theory &amp; assumptions</w:t>
        </w:r>
      </w:hyperlink>
      <w:r>
        <w:t xml:space="preserve"> </w:t>
      </w:r>
    </w:p>
    <w:p>
      <w:hyperlink r:id="rId68">
        <w:r>
          <w:rPr>
            <w:color w:val="176EA4"/>
          </w:rPr>
          <w:t>Guided exercise &amp; two-layer workflow </w:t>
        </w:r>
      </w:hyperlink>
      <w:r>
        <w:t xml:space="preserve"> </w:t>
      </w:r>
    </w:p>
    <w:p>
      <w:pPr>
        <w:keepNext/>
      </w:pPr>
      <w:r>
        <w:rPr>
          <w:b/>
          <w:i w:val="0"/>
        </w:rPr>
        <w:t xml:space="preserve">∑ </w:t>
      </w:r>
      <w:r>
        <w:rPr>
          <w:b/>
          <w:i w:val="0"/>
        </w:rPr>
        <w:t xml:space="preserve"> </w:t>
      </w:r>
      <w:r>
        <w:rPr>
          <w:b/>
          <w:i w:val="0"/>
        </w:rPr>
        <w:t>Normal-incidence laminate TMM</w:t>
      </w:r>
    </w:p>
    <w:p>
      <w:pPr/>
      <w:r>
        <w:rPr>
          <w:b w:val="0"/>
          <w:i w:val="0"/>
        </w:rPr>
        <w:t>Models → Electromagnetics · RF → Normal-incidence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r>
        <w:rPr>
          <w:b w:val="0"/>
          <w:i w:val="0"/>
        </w:rPr>
        <w:t>Coherent isotropic nonmagnetic layers between air half-spaces.</w:t>
      </w:r>
    </w:p>
    <w:p>
      <w:pPr>
        <w:keepNext/>
      </w:pPr>
      <w:r>
        <w:rPr>
          <w:b/>
          <w:i w:val="0"/>
        </w:rPr>
        <w:t>Formulations and study choices</w:t>
      </w:r>
    </w:p>
    <w:p>
      <w:pPr>
        <w:pStyle w:val="ListBullet"/>
      </w:pPr>
      <w:r>
        <w:rPr>
          <w:b w:val="0"/>
          <w:i w:val="0"/>
        </w:rPr>
        <w:t>EM · Normal-incidence laminate TMM</w:t>
      </w:r>
    </w:p>
    <w:p>
      <w:hyperlink r:id="rId75">
        <w:r>
          <w:rPr>
            <w:color w:val="176EA4"/>
          </w:rPr>
          <w:t>∑ Theory &amp; assumptions</w:t>
        </w:r>
      </w:hyperlink>
      <w:r>
        <w:t xml:space="preserve"> </w:t>
      </w:r>
    </w:p>
    <w:p>
      <w:hyperlink r:id="rId76">
        <w:r>
          <w:rPr>
            <w:color w:val="176EA4"/>
          </w:rPr>
          <w:t>Guided exercise &amp; two-layer workflow </w:t>
        </w:r>
      </w:hyperlink>
      <w:r>
        <w:t xml:space="preserve"> </w:t>
      </w:r>
    </w:p>
    <w:p>
      <w:pPr>
        <w:keepNext/>
      </w:pPr>
      <w:r>
        <w:rPr>
          <w:b/>
          <w:i w:val="0"/>
        </w:rPr>
        <w:t xml:space="preserve">∑ </w:t>
      </w:r>
      <w:r>
        <w:rPr>
          <w:b/>
          <w:i w:val="0"/>
        </w:rPr>
        <w:t xml:space="preserve"> </w:t>
      </w:r>
      <w:r>
        <w:rPr>
          <w:b/>
          <w:i w:val="0"/>
        </w:rPr>
        <w:t>Oblique polarized laminate TMM</w:t>
      </w:r>
    </w:p>
    <w:p>
      <w:pPr/>
      <w:r>
        <w:rPr>
          <w:b w:val="0"/>
          <w:i w:val="0"/>
        </w:rPr>
        <w:t>Models → Electromagnetics · RF → Oblique polarized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r>
        <w:rPr>
          <w:b w:val="0"/>
          <w:i w:val="0"/>
        </w:rPr>
        <w:t>TE or TM waves; scalar isotropic layers, no polarization conversion.</w:t>
      </w:r>
    </w:p>
    <w:p>
      <w:pPr>
        <w:keepNext/>
      </w:pPr>
      <w:r>
        <w:rPr>
          <w:b/>
          <w:i w:val="0"/>
        </w:rPr>
        <w:t>Formulations and study choices</w:t>
      </w:r>
    </w:p>
    <w:p>
      <w:pPr>
        <w:pStyle w:val="ListBullet"/>
      </w:pPr>
      <w:r>
        <w:rPr>
          <w:b w:val="0"/>
          <w:i w:val="0"/>
        </w:rPr>
        <w:t>EM · Oblique polarized laminate TMM</w:t>
      </w:r>
    </w:p>
    <w:p>
      <w:hyperlink r:id="rId89">
        <w:r>
          <w:rPr>
            <w:color w:val="176EA4"/>
          </w:rPr>
          <w:t>∑ Theory &amp; assumptions</w:t>
        </w:r>
      </w:hyperlink>
      <w:r>
        <w:t xml:space="preserve"> </w:t>
      </w:r>
    </w:p>
    <w:p>
      <w:hyperlink r:id="rId90">
        <w:r>
          <w:rPr>
            <w:color w:val="176EA4"/>
          </w:rPr>
          <w:t>Guided exercise &amp; two-layer workflow </w:t>
        </w:r>
      </w:hyperlink>
      <w:r>
        <w:t xml:space="preserve"> </w:t>
      </w:r>
    </w:p>
    <w:p>
      <w:pPr>
        <w:keepNext/>
      </w:pPr>
      <w:r>
        <w:rPr>
          <w:b/>
          <w:i w:val="0"/>
        </w:rPr>
        <w:t xml:space="preserve">∑ </w:t>
      </w:r>
      <w:r>
        <w:rPr>
          <w:b/>
          <w:i w:val="0"/>
        </w:rPr>
        <w:t xml:space="preserve"> </w:t>
      </w:r>
      <w:r>
        <w:rPr>
          <w:b/>
          <w:i w:val="0"/>
        </w:rPr>
        <w:t>1D transmission line matrix</w:t>
      </w:r>
    </w:p>
    <w:p>
      <w:pPr/>
      <w:r>
        <w:rPr>
          <w:b w:val="0"/>
          <w:i w:val="0"/>
        </w:rPr>
        <w:t>Models → Electromagnetics · RF → 1D transmission line matrix</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Reflected and transmitted pulse histories and spectra; mesh and energy checks</w:t>
      </w:r>
    </w:p>
    <w:p>
      <w:pPr/>
      <w:r>
        <w:rPr>
          <w:b w:val="0"/>
          <w:i w:val="0"/>
        </w:rPr>
        <w:t>Normal-incidence lossless delay-line mesh with pulse decay, energy and mesh-refinement safeguards. Explicit Run required; not a 3D solver.</w:t>
      </w:r>
    </w:p>
    <w:p>
      <w:pPr>
        <w:keepNext/>
      </w:pPr>
      <w:r>
        <w:rPr>
          <w:b/>
          <w:i w:val="0"/>
        </w:rPr>
        <w:t>Formulations and study choices</w:t>
      </w:r>
    </w:p>
    <w:p>
      <w:pPr>
        <w:pStyle w:val="ListBullet"/>
      </w:pPr>
      <w:r>
        <w:rPr>
          <w:b w:val="0"/>
          <w:i w:val="0"/>
        </w:rPr>
        <w:t>EM · 1D transmission line matrix</w:t>
      </w:r>
    </w:p>
    <w:p>
      <w:hyperlink r:id="rId91">
        <w:r>
          <w:rPr>
            <w:color w:val="176EA4"/>
          </w:rPr>
          <w:t>∑ Theory &amp; assumptions</w:t>
        </w:r>
      </w:hyperlink>
      <w:r>
        <w:t xml:space="preserve"> </w:t>
      </w:r>
    </w:p>
    <w:p>
      <w:hyperlink r:id="rId92">
        <w:r>
          <w:rPr>
            <w:color w:val="176EA4"/>
          </w:rPr>
          <w:t>Guided exercise &amp; two-layer workflow </w:t>
        </w:r>
      </w:hyperlink>
      <w:r>
        <w:t xml:space="preserve"> </w:t>
      </w:r>
    </w:p>
    <w:p>
      <w:pPr>
        <w:keepNext/>
      </w:pPr>
      <w:r>
        <w:rPr>
          <w:b/>
          <w:i w:val="0"/>
        </w:rPr>
        <w:t xml:space="preserve">∑ </w:t>
      </w:r>
      <w:r>
        <w:rPr>
          <w:b/>
          <w:i w:val="0"/>
        </w:rPr>
        <w:t xml:space="preserve"> </w:t>
      </w:r>
      <w:r>
        <w:rPr>
          <w:b/>
          <w:i w:val="0"/>
        </w:rPr>
        <w:t>1D Floquet–Bloch periodic layers</w:t>
      </w:r>
    </w:p>
    <w:p>
      <w:pPr/>
      <w:r>
        <w:rPr>
          <w:b w:val="0"/>
          <w:i w:val="0"/>
        </w:rPr>
        <w:t>Models → Electromagnetics · RF → 1D Floquet–Bloch periodic layers</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Periodic-cell eigenvalues, folded Bloch phase and stop-band decay</w:t>
      </w:r>
    </w:p>
    <w:p>
      <w:pPr/>
      <w:r>
        <w:rPr>
          <w:b w:val="0"/>
          <w:i w:val="0"/>
        </w:rPr>
        <w:t>Lossless isotropic A/B unit-cell eigenvalues, folded Bloch phase and stop-band attenuation at normal incidence. Not arbitrary-cell homogenization.</w:t>
      </w:r>
    </w:p>
    <w:p>
      <w:pPr>
        <w:keepNext/>
      </w:pPr>
      <w:r>
        <w:rPr>
          <w:b/>
          <w:i w:val="0"/>
        </w:rPr>
        <w:t>Formulations and study choices</w:t>
      </w:r>
    </w:p>
    <w:p>
      <w:pPr>
        <w:pStyle w:val="ListBullet"/>
      </w:pPr>
      <w:r>
        <w:rPr>
          <w:b w:val="0"/>
          <w:i w:val="0"/>
        </w:rPr>
        <w:t>EM · 1D Floquet–Bloch periodic layers</w:t>
      </w:r>
    </w:p>
    <w:p>
      <w:hyperlink r:id="rId93">
        <w:r>
          <w:rPr>
            <w:color w:val="176EA4"/>
          </w:rPr>
          <w:t>∑ Theory &amp; assumptions</w:t>
        </w:r>
      </w:hyperlink>
      <w:r>
        <w:t xml:space="preserve"> </w:t>
      </w:r>
    </w:p>
    <w:p>
      <w:hyperlink r:id="rId94">
        <w:r>
          <w:rPr>
            <w:color w:val="176EA4"/>
          </w:rPr>
          <w:t>Guided exercise &amp; two-layer workflow </w:t>
        </w:r>
      </w:hyperlink>
      <w:r>
        <w:t xml:space="preserve"> </w:t>
      </w:r>
    </w:p>
    <w:p>
      <w:hyperlink r:id="rId111">
        <w:r>
          <w:rPr>
            <w:color w:val="176EA4"/>
          </w:rPr>
          <w:t>Next workflow page 03.6 Cloud →</w:t>
        </w:r>
      </w:hyperlink>
      <w:r>
        <w:t xml:space="preserve"> </w:t>
      </w:r>
    </w:p>
    <w:p>
      <w:bookmarkStart w:id="5" w:name="chapter_5"/>
      <w:pPr>
        <w:pStyle w:val="Heading1"/>
        <w:pageBreakBefore/>
      </w:pPr>
      <w:r>
        <w:t>5 Turn ply definitions into laminate decisions</w:t>
      </w:r>
      <w:bookmarkEnd w:id="5"/>
    </w:p>
    <w:p>
      <w:pPr>
        <w:pStyle w:val="Caption"/>
      </w:pPr>
      <w:hyperlink r:id="rId115">
        <w:r>
          <w:rPr>
            <w:color w:val="176EA4"/>
          </w:rPr>
          <w:t>Online chapter</w:t>
        </w:r>
      </w:hyperlink>
      <w:r>
        <w:t xml:space="preserve"> </w:t>
      </w:r>
    </w:p>
    <w:p>
      <w:pPr/>
      <w:r>
        <w:rPr>
          <w:b w:val="0"/>
          <w:i w:val="0"/>
        </w:rPr>
        <w:t>Connect stored or Micro-derived ply properties to a stacking sequence, then choose a compatible structural or separate analytical study.</w:t>
      </w:r>
    </w:p>
    <w:p>
      <w:r>
        <w:t>Inspect a ply stack</w:t>
      </w:r>
    </w:p>
    <w:p>
      <w:pPr/>
      <w:r>
        <w:rPr>
          <w:b w:val="0"/>
          <w:i w:val="0"/>
        </w:rPr>
        <w:t>Angle pair ±θ</w:t>
      </w:r>
      <w:r>
        <w:t xml:space="preserve">: </w:t>
      </w:r>
      <w:r>
        <w:rPr>
          <w:b w:val="0"/>
          <w:i w:val="0"/>
        </w:rPr>
        <w:t>45</w:t>
      </w:r>
      <w:r>
        <w:rPr>
          <w:b w:val="0"/>
          <w:i w:val="0"/>
        </w:rPr>
        <w:t xml:space="preserve"> </w:t>
      </w:r>
      <w:r>
        <w:rPr>
          <w:b w:val="0"/>
          <w:i w:val="0"/>
        </w:rPr>
        <w:t xml:space="preserve"> </w:t>
      </w:r>
      <w:r>
        <w:rPr>
          <w:b w:val="0"/>
          <w:i w:val="0"/>
        </w:rPr>
        <w:t xml:space="preserve"> </w:t>
      </w:r>
      <w:r>
        <w:rPr>
          <w:b w:val="0"/>
          <w:i w:val="0"/>
        </w:rPr>
        <w:t>°</w:t>
      </w:r>
    </w:p>
    <w:p>
      <w:r>
        <w:t>Ply to resize</w:t>
      </w:r>
    </w:p>
    <w:p>
      <w:pPr/>
      <w:r>
        <w:rPr>
          <w:b w:val="0"/>
          <w:i w:val="0"/>
        </w:rPr>
        <w:t>Selected ply thickness</w:t>
      </w:r>
      <w:r>
        <w:t xml:space="preserve">: </w:t>
      </w:r>
      <w:r>
        <w:rPr>
          <w:b w:val="0"/>
          <w:i w:val="0"/>
        </w:rPr>
        <w:t>0.125</w:t>
      </w:r>
      <w:r>
        <w:rPr>
          <w:b w:val="0"/>
          <w:i w:val="0"/>
        </w:rPr>
        <w:t xml:space="preserve"> </w:t>
      </w:r>
      <w:r>
        <w:rPr>
          <w:b w:val="0"/>
          <w:i w:val="0"/>
        </w:rPr>
        <w:t xml:space="preserve"> </w:t>
      </w:r>
      <w:r>
        <w:rPr>
          <w:b w:val="0"/>
          <w:i w:val="0"/>
        </w:rPr>
        <w:t xml:space="preserve"> </w:t>
      </w:r>
      <w:r>
        <w:rPr>
          <w:b w:val="0"/>
          <w:i w:val="0"/>
        </w:rPr>
        <w:t>mm</w:t>
      </w:r>
    </w:p>
    <w:p>
      <w:pPr/>
      <w:r>
        <w:rPr>
          <w:b w:val="0"/>
          <w:i w:val="0"/>
        </w:rPr>
        <w:t xml:space="preserve">8 plies · </w:t>
      </w:r>
      <w:r>
        <w:rPr>
          <w:b w:val="0"/>
          <w:i w:val="0"/>
        </w:rPr>
        <w:t xml:space="preserve"> </w:t>
      </w:r>
      <w:r>
        <w:rPr>
          <w:b w:val="0"/>
          <w:i w:val="0"/>
        </w:rPr>
        <w:t>1.000</w:t>
      </w:r>
      <w:r>
        <w:rPr>
          <w:b w:val="0"/>
          <w:i w:val="0"/>
        </w:rPr>
        <w:t xml:space="preserve"> </w:t>
      </w:r>
      <w:r>
        <w:rPr>
          <w:b w:val="0"/>
          <w:i w:val="0"/>
        </w:rPr>
        <w:t xml:space="preserve"> mm total. Thickness is proportional in the section; line direction indicates angle, not a stress field.</w:t>
      </w:r>
    </w:p>
    <w:p>
      <w:pPr>
        <w:keepNext w:val="0"/>
        <w:jc w:val="center"/>
      </w:pPr>
      <w:r>
        <w:drawing>
          <wp:inline xmlns:a="http://schemas.openxmlformats.org/drawingml/2006/main" xmlns:pic="http://schemas.openxmlformats.org/drawingml/2006/picture">
            <wp:extent cx="6217920" cy="2908382"/>
            <wp:docPr id="6" name="Picture 6" descr="CDS workflow or model illustration"/>
            <wp:cNvGraphicFramePr>
              <a:graphicFrameLocks noChangeAspect="1"/>
            </wp:cNvGraphicFramePr>
            <a:graphic>
              <a:graphicData uri="http://schemas.openxmlformats.org/drawingml/2006/picture">
                <pic:pic>
                  <pic:nvPicPr>
                    <pic:cNvPr id="0" name="rsvg-14443e4c069ff0d3eb54e7c67221e0a5b163760124e136209f9ce86a27d345fc.png"/>
                    <pic:cNvPicPr/>
                  </pic:nvPicPr>
                  <pic:blipFill>
                    <a:blip r:embed="rId116"/>
                    <a:stretch>
                      <a:fillRect/>
                    </a:stretch>
                  </pic:blipFill>
                  <pic:spPr>
                    <a:xfrm>
                      <a:off x="0" y="0"/>
                      <a:ext cx="6217920" cy="2908382"/>
                    </a:xfrm>
                    <a:prstGeom prst="rect"/>
                  </pic:spPr>
                </pic:pic>
              </a:graphicData>
            </a:graphic>
          </wp:inline>
        </w:drawing>
      </w:r>
    </w:p>
    <w:p>
      <w:pPr/>
      <w:r>
        <w:rPr>
          <w:b w:val="0"/>
          <w:i w:val="0"/>
        </w:rPr>
        <w:t>[θ / −θ / 0 / 90 / 90 / 0 / −θ / θ]</w:t>
      </w:r>
    </w:p>
    <w:p>
      <w:pPr/>
      <w:r>
        <w:rPr>
          <w:b w:val="0"/>
          <w:i w:val="0"/>
        </w:rPr>
        <w:t>03.3</w:t>
      </w:r>
      <w:r>
        <w:rPr>
          <w:b w:val="0"/>
          <w:i w:val="0"/>
        </w:rPr>
        <w:t xml:space="preserve"> </w:t>
      </w:r>
      <w:r>
        <w:rPr>
          <w:b w:val="0"/>
          <w:i w:val="0"/>
        </w:rPr>
        <w:t xml:space="preserve"> / Workflow focus</w:t>
      </w:r>
    </w:p>
    <w:p>
      <w:pPr/>
      <w:r>
        <w:rPr>
          <w:b w:val="0"/>
          <w:i w:val="0"/>
        </w:rPr>
        <w:t>Connected engineering record</w:t>
      </w:r>
    </w:p>
    <w:p>
      <w:pPr>
        <w:pStyle w:val="Heading2"/>
      </w:pPr>
      <w:r>
        <w:t>Ply stack</w:t>
      </w:r>
    </w:p>
    <w:p>
      <w:pPr/>
      <w:r>
        <w:rPr>
          <w:b w:val="0"/>
          <w:i w:val="0"/>
        </w:rPr>
        <w:t>Set material references, angles and thicknesses. The stack defines laminate stiffness, mass and reference properties.</w:t>
      </w:r>
    </w:p>
    <w:p>
      <w:pPr>
        <w:pStyle w:val="Heading2"/>
      </w:pPr>
      <w:r>
        <w:t>CLT and FSDT</w:t>
      </w:r>
    </w:p>
    <w:p>
      <w:pPr/>
      <w:r>
        <w:rPr>
          <w:b w:val="0"/>
          <w:i w:val="0"/>
        </w:rPr>
        <w:t>ABD properties support laminate response. Finite-plate studies select CLT or FSDT within their supported boundary and study limits; static plate bending requires FSDT.</w:t>
      </w:r>
    </w:p>
    <w:p>
      <w:pPr>
        <w:pStyle w:val="Heading2"/>
      </w:pPr>
      <w:r>
        <w:t>Failure and interfaces</w:t>
      </w:r>
    </w:p>
    <w:p>
      <w:pPr/>
      <w:r>
        <w:rPr>
          <w:b w:val="0"/>
          <w:i w:val="0"/>
        </w:rPr>
        <w:t>Eligible CLT cases use the released failure criteria. Coupled delamination belongs to the supported layerwise section path with calibrated interfaces, not every plate solver.</w:t>
      </w:r>
    </w:p>
    <w:p>
      <w:pPr>
        <w:pStyle w:val="Heading2"/>
      </w:pPr>
      <w:r>
        <w:t>Separate analytical studies</w:t>
      </w:r>
    </w:p>
    <w:p>
      <w:pPr/>
      <w:r>
        <w:rPr>
          <w:b w:val="0"/>
          <w:i w:val="0"/>
        </w:rPr>
        <w:t>Open-hole strength, linear-shear LaRC04 initiation, axial creep and uncertainty use the linked laminate reference state. They do not automatically inherit process or progressive-damage histories.</w:t>
      </w:r>
    </w:p>
    <w:p>
      <w:pPr>
        <w:pStyle w:val="Heading2"/>
      </w:pPr>
      <w:r>
        <w:t>Design exploration</w:t>
      </w:r>
    </w:p>
    <w:p>
      <w:pPr/>
      <w:r>
        <w:rPr>
          <w:b w:val="0"/>
          <w:i w:val="0"/>
        </w:rPr>
        <w:t>Carpet maps and bounded optimization compare candidates. Apply a candidate and rerun the appropriate analysis; a saved result does not update itself.</w:t>
      </w:r>
    </w:p>
    <w:p>
      <w:pPr/>
      <w:r>
        <w:rPr>
          <w:b w:val="0"/>
          <w:i w:val="0"/>
        </w:rPr>
        <w:t xml:space="preserve">Workbench availability: </w:t>
      </w:r>
      <w:hyperlink r:id="rId101">
        <w:r>
          <w:rPr>
            <w:color w:val="176EA4"/>
          </w:rPr>
          <w:t>released models, inputs and compatible study paths</w:t>
        </w:r>
      </w:hyperlink>
      <w:r>
        <w:t xml:space="preserve"> </w:t>
      </w:r>
      <w:r>
        <w:rPr>
          <w:b w:val="0"/>
          <w:i w:val="0"/>
        </w:rPr>
        <w:t>. The wider theory library includes reference formulations not available in every Workbench solve.</w:t>
      </w:r>
    </w:p>
    <w:p>
      <w:pPr/>
      <w:hyperlink r:id="rId112">
        <w:r>
          <w:rPr>
            <w:color w:val="176EA4"/>
          </w:rPr>
          <w:t>Use this workflow in Workbench: interactive Blocks, record selections and connection controls →</w:t>
        </w:r>
      </w:hyperlink>
      <w:r>
        <w:t xml:space="preserve"> </w:t>
      </w:r>
    </w:p>
    <w:p>
      <w:pPr>
        <w:pStyle w:val="Heading2"/>
      </w:pPr>
      <w:r>
        <w:t>Laminates released model connections</w:t>
      </w:r>
    </w:p>
    <w:p>
      <w:pPr/>
      <w:r>
        <w:rPr>
          <w:b w:val="0"/>
          <w:i w:val="0"/>
        </w:rPr>
        <w:t xml:space="preserve">Expand a family for inputs, outputs, supported formulations, theory and an exercise. </w:t>
      </w:r>
      <w:hyperlink r:id="rId101">
        <w:r>
          <w:rPr>
            <w:color w:val="176EA4"/>
          </w:rPr>
          <w:t>All model families </w:t>
        </w:r>
      </w:hyperlink>
      <w:r>
        <w:t xml:space="preserve"> </w:t>
      </w:r>
    </w:p>
    <w:p>
      <w:pPr>
        <w:keepNext/>
      </w:pPr>
      <w:r>
        <w:rPr>
          <w:b/>
          <w:i w:val="0"/>
        </w:rPr>
        <w:t xml:space="preserve">∑ </w:t>
      </w:r>
      <w:r>
        <w:rPr>
          <w:b/>
          <w:i w:val="0"/>
        </w:rPr>
        <w:t xml:space="preserve"> </w:t>
      </w:r>
      <w:r>
        <w:rPr>
          <w:b/>
          <w:i w:val="0"/>
        </w:rPr>
        <w:t>Plate · CLT &amp; FSDT</w:t>
      </w:r>
    </w:p>
    <w:p>
      <w:pPr/>
      <w:r>
        <w:rPr>
          <w:b w:val="0"/>
          <w:i w:val="0"/>
        </w:rPr>
        <w:t>Structural models → Laminate mechanics · CLT / FSDT</w:t>
      </w:r>
    </w:p>
    <w:p>
      <w:r>
        <w:rPr>
          <w:b w:val="0"/>
          <w:i w:val="0"/>
        </w:rPr>
        <w:t>Inputs</w:t>
      </w:r>
      <w:r>
        <w:t xml:space="preserve"> </w:t>
      </w:r>
      <w:r>
        <w:rPr>
          <w:b w:val="0"/>
          <w:i w:val="0"/>
        </w:rPr>
        <w:t>Laminate stiffness, finite plate dimensions, supported edges and study choice</w:t>
      </w:r>
      <w:r>
        <w:t xml:space="preserve"> </w:t>
      </w:r>
      <w:r>
        <w:rPr>
          <w:b w:val="0"/>
          <w:i w:val="0"/>
        </w:rPr>
        <w:t>Results / handoff</w:t>
      </w:r>
      <w:r>
        <w:t xml:space="preserve"> </w:t>
      </w:r>
      <w:r>
        <w:rPr>
          <w:b w:val="0"/>
          <w:i w:val="0"/>
        </w:rPr>
        <w:t>FSDT static bending or selected buckling / modal results; not progressive damage</w:t>
      </w:r>
    </w:p>
    <w:p>
      <w:pPr/>
      <w:r>
        <w:rPr>
          <w:b w:val="0"/>
          <w:i w:val="0"/>
        </w:rPr>
        <w:t>Choose a formulation and study. Buckling and modal can be requested together; static bending requires FSDT. These are reference-elastic studies, separate from coupled process or progressive failure.</w:t>
      </w:r>
    </w:p>
    <w:p>
      <w:pPr>
        <w:keepNext/>
      </w:pPr>
      <w:r>
        <w:rPr>
          <w:b/>
          <w:i w:val="0"/>
        </w:rPr>
        <w:t>Formulations and study choices</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hyperlink r:id="rId22">
        <w:r>
          <w:rPr>
            <w:color w:val="176EA4"/>
          </w:rPr>
          <w:t>∑ Theory &amp; assumptions</w:t>
        </w:r>
      </w:hyperlink>
      <w:r>
        <w:t xml:space="preserve"> </w:t>
      </w:r>
    </w:p>
    <w:p>
      <w:hyperlink r:id="rId23">
        <w:r>
          <w:rPr>
            <w:color w:val="176EA4"/>
          </w:rPr>
          <w:t>Guided exercise &amp; two-layer workflow </w:t>
        </w:r>
      </w:hyperlink>
      <w:r>
        <w:t xml:space="preserve"> </w:t>
      </w:r>
    </w:p>
    <w:p>
      <w:pPr>
        <w:keepNext/>
      </w:pPr>
      <w:r>
        <w:rPr>
          <w:b/>
          <w:i w:val="0"/>
        </w:rPr>
        <w:t xml:space="preserve">∑ </w:t>
      </w:r>
      <w:r>
        <w:rPr>
          <w:b/>
          <w:i w:val="0"/>
        </w:rPr>
        <w:t xml:space="preserve"> </w:t>
      </w:r>
      <w:r>
        <w:rPr>
          <w:b/>
          <w:i w:val="0"/>
        </w:rPr>
        <w:t>Membrane, bending &amp; beam buckling</w:t>
      </w:r>
    </w:p>
    <w:p>
      <w:pPr/>
      <w:r>
        <w:rPr>
          <w:b w:val="0"/>
          <w:i w:val="0"/>
        </w:rPr>
        <w:t>Structural models → Laminate mechanics → Membrane, bending &amp; beam</w:t>
      </w:r>
    </w:p>
    <w:p>
      <w:r>
        <w:rPr>
          <w:b w:val="0"/>
          <w:i w:val="0"/>
        </w:rPr>
        <w:t>Inputs</w:t>
      </w:r>
      <w:r>
        <w:t xml:space="preserve"> </w:t>
      </w:r>
      <w:r>
        <w:rPr>
          <w:b w:val="0"/>
          <w:i w:val="0"/>
        </w:rPr>
        <w:t>Laminate, compatible section and static or Euler load case</w:t>
      </w:r>
      <w:r>
        <w:t xml:space="preserve"> </w:t>
      </w:r>
      <w:r>
        <w:rPr>
          <w:b w:val="0"/>
          <w:i w:val="0"/>
        </w:rPr>
        <w:t>Results / handoff</w:t>
      </w:r>
      <w:r>
        <w:t xml:space="preserve"> </w:t>
      </w:r>
      <w:r>
        <w:rPr>
          <w:b w:val="0"/>
          <w:i w:val="0"/>
        </w:rPr>
        <w:t>Membrane / bending response or separate Euler buckling result</w:t>
      </w:r>
    </w:p>
    <w:p>
      <w:pPr/>
      <w:r>
        <w:rPr>
          <w:b w:val="0"/>
          <w:i w:val="0"/>
        </w:rPr>
        <w:t>Geometry and the case determine the membrane or beam-test interpretation. Euler buckling requires a compatible beam section and a separate reference-elastic study; it is not a strength or local-buckling pass.</w:t>
      </w:r>
    </w:p>
    <w:p>
      <w:pPr>
        <w:keepNext/>
      </w:pPr>
      <w:r>
        <w:rPr>
          <w:b/>
          <w:i w:val="0"/>
        </w:rPr>
        <w:t>Formulations and study choices</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hyperlink r:id="rId26">
        <w:r>
          <w:rPr>
            <w:color w:val="176EA4"/>
          </w:rPr>
          <w:t>∑ Theory &amp; assumptions</w:t>
        </w:r>
      </w:hyperlink>
      <w:r>
        <w:t xml:space="preserve"> </w:t>
      </w:r>
    </w:p>
    <w:p>
      <w:hyperlink r:id="rId27">
        <w:r>
          <w:rPr>
            <w:color w:val="176EA4"/>
          </w:rPr>
          <w:t>Guided exercise &amp; two-layer workflow </w:t>
        </w:r>
      </w:hyperlink>
      <w:r>
        <w:t xml:space="preserve"> </w:t>
      </w:r>
    </w:p>
    <w:p>
      <w:pPr>
        <w:keepNext/>
      </w:pPr>
      <w:r>
        <w:rPr>
          <w:b/>
          <w:i w:val="0"/>
        </w:rPr>
        <w:t xml:space="preserve">∑ </w:t>
      </w:r>
      <w:r>
        <w:rPr>
          <w:b/>
          <w:i w:val="0"/>
        </w:rPr>
        <w:t xml:space="preserve"> </w:t>
      </w:r>
      <w:r>
        <w:rPr>
          <w:b/>
          <w:i w:val="0"/>
        </w:rPr>
        <w:t>Failure &amp; envelope comparison</w:t>
      </w:r>
    </w:p>
    <w:p>
      <w:pPr/>
      <w:r>
        <w:rPr>
          <w:b w:val="0"/>
          <w:i w:val="0"/>
        </w:rPr>
        <w:t>Structural models → Laminate mechanics → Failure criteria</w:t>
      </w:r>
    </w:p>
    <w:p>
      <w:r>
        <w:rPr>
          <w:b w:val="0"/>
          <w:i w:val="0"/>
        </w:rPr>
        <w:t>Inputs</w:t>
      </w:r>
      <w:r>
        <w:t xml:space="preserve"> </w:t>
      </w:r>
      <w:r>
        <w:rPr>
          <w:b w:val="0"/>
          <w:i w:val="0"/>
        </w:rPr>
        <w:t>Eligible CLT load case, strengths / strain limits and selected criterion</w:t>
      </w:r>
      <w:r>
        <w:t xml:space="preserve"> </w:t>
      </w:r>
      <w:r>
        <w:rPr>
          <w:b w:val="0"/>
          <w:i w:val="0"/>
        </w:rPr>
        <w:t>Results / handoff</w:t>
      </w:r>
      <w:r>
        <w:t xml:space="preserve"> </w:t>
      </w:r>
      <w:r>
        <w:rPr>
          <w:b w:val="0"/>
          <w:i w:val="0"/>
        </w:rPr>
        <w:t>First-ply envelopes or supported progressive ply-damage histories; criteria are not blended</w:t>
      </w:r>
    </w:p>
    <w:p>
      <w:pPr/>
      <w:r>
        <w:rPr>
          <w:b w:val="0"/>
          <w:i w:val="0"/>
        </w:rPr>
        <w:t>One primary failure criterion per load. In Response → Failure, compare all eligible theories or a custom selection in the envelope controls. Each theory runs independently; criteria are not blended.</w:t>
      </w:r>
    </w:p>
    <w:p>
      <w:pPr>
        <w:keepNext/>
      </w:pPr>
      <w:r>
        <w:rPr>
          <w:b/>
          <w:i w:val="0"/>
        </w:rPr>
        <w:t>Formulations and study choices</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hyperlink r:id="rId31">
        <w:r>
          <w:rPr>
            <w:color w:val="176EA4"/>
          </w:rPr>
          <w:t>∑ Theory &amp; assumptions</w:t>
        </w:r>
      </w:hyperlink>
      <w:r>
        <w:t xml:space="preserve"> </w:t>
      </w:r>
    </w:p>
    <w:p>
      <w:hyperlink r:id="rId32">
        <w:r>
          <w:rPr>
            <w:color w:val="176EA4"/>
          </w:rPr>
          <w:t>Guided exercise &amp; two-layer workflow </w:t>
        </w:r>
      </w:hyperlink>
      <w:r>
        <w:t xml:space="preserve"> </w:t>
      </w:r>
    </w:p>
    <w:p>
      <w:pPr/>
      <w:r>
        <w:rPr>
          <w:b w:val="0"/>
          <w:i w:val="0"/>
        </w:rPr>
        <w:t xml:space="preserve"> · </w:t>
      </w:r>
      <w:hyperlink r:id="rId108">
        <w:r>
          <w:rPr>
            <w:color w:val="176EA4"/>
          </w:rPr>
          <w:t>Failure equations</w:t>
        </w:r>
      </w:hyperlink>
      <w:r>
        <w:t xml:space="preserve"> </w:t>
      </w:r>
    </w:p>
    <w:p>
      <w:pPr/>
      <w:r>
        <w:rPr>
          <w:b w:val="0"/>
          <w:i w:val="0"/>
        </w:rPr>
        <w:t xml:space="preserve"> · </w:t>
      </w:r>
      <w:hyperlink r:id="rId109">
        <w:r>
          <w:rPr>
            <w:color w:val="176EA4"/>
          </w:rPr>
          <w:t>Implemented Workbench methods</w:t>
        </w:r>
      </w:hyperlink>
      <w:r>
        <w:t xml:space="preserve"> </w:t>
      </w:r>
    </w:p>
    <w:p>
      <w:pPr>
        <w:keepNext/>
      </w:pPr>
      <w:r>
        <w:rPr>
          <w:b/>
          <w:i w:val="0"/>
        </w:rPr>
        <w:t xml:space="preserve">∑ </w:t>
      </w:r>
      <w:r>
        <w:rPr>
          <w:b/>
          <w:i w:val="0"/>
        </w:rPr>
        <w:t xml:space="preserve"> </w:t>
      </w:r>
      <w:r>
        <w:rPr>
          <w:b/>
          <w:i w:val="0"/>
        </w:rPr>
        <w:t>D6641 · Compression coupon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small-strain compression using linked laminate Ex and thickness. Measured compressive strength supplies a screening ratio; fixture, tabs, buckling and failure evolution are not simulated.</w:t>
      </w:r>
    </w:p>
    <w:p>
      <w:pPr/>
      <w:r>
        <w:rPr>
          <w:b w:val="0"/>
          <w:i w:val="0"/>
        </w:rPr>
        <w:t>Uniform small-strain compression using linked laminate Ex and thickness. Measured compressive strength supplies a screening ratio; fixture, tabs, buckling and failure evolution are not simulated.</w:t>
      </w:r>
    </w:p>
    <w:p>
      <w:pPr>
        <w:keepNext/>
      </w:pPr>
      <w:r>
        <w:rPr>
          <w:b/>
          <w:i w:val="0"/>
        </w:rPr>
        <w:t>Formulations and study choices</w:t>
      </w:r>
    </w:p>
    <w:p>
      <w:pPr>
        <w:pStyle w:val="ListBullet"/>
      </w:pPr>
      <w:r>
        <w:rPr>
          <w:b w:val="0"/>
          <w:i w:val="0"/>
        </w:rPr>
        <w:t>Virtual test · compression coupon</w:t>
      </w:r>
    </w:p>
    <w:p>
      <w:hyperlink r:id="rId33">
        <w:r>
          <w:rPr>
            <w:color w:val="176EA4"/>
          </w:rPr>
          <w:t>∑ Theory &amp; assumptions</w:t>
        </w:r>
      </w:hyperlink>
      <w:r>
        <w:t xml:space="preserve"> </w:t>
      </w:r>
    </w:p>
    <w:p>
      <w:hyperlink r:id="rId34">
        <w:r>
          <w:rPr>
            <w:color w:val="176EA4"/>
          </w:rPr>
          <w:t>Guided exercise &amp; two-layer workflow </w:t>
        </w:r>
      </w:hyperlink>
      <w:r>
        <w:t xml:space="preserve"> </w:t>
      </w:r>
    </w:p>
    <w:p>
      <w:pPr>
        <w:keepNext/>
      </w:pPr>
      <w:r>
        <w:rPr>
          <w:b/>
          <w:i w:val="0"/>
        </w:rPr>
        <w:t xml:space="preserve">∑ </w:t>
      </w:r>
      <w:r>
        <w:rPr>
          <w:b/>
          <w:i w:val="0"/>
        </w:rPr>
        <w:t xml:space="preserve"> </w:t>
      </w:r>
      <w:r>
        <w:rPr>
          <w:b/>
          <w:i w:val="0"/>
        </w:rPr>
        <w:t>D5379 / D7078 · Shear coupon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r>
        <w:rPr>
          <w:b w:val="0"/>
          <w:i w:val="0"/>
        </w:rPr>
        <w:t>Uniform nominal shear between notches using linked laminate Gxy and thickness. Not a notch/fixture stress field or nonlinear shear solution. Gauge length is the effective shear deformation length, not crosshead travel.</w:t>
      </w:r>
    </w:p>
    <w:p>
      <w:pPr>
        <w:keepNext/>
      </w:pPr>
      <w:r>
        <w:rPr>
          <w:b/>
          <w:i w:val="0"/>
        </w:rPr>
        <w:t>Formulations and study choices</w:t>
      </w:r>
    </w:p>
    <w:p>
      <w:pPr>
        <w:pStyle w:val="ListBullet"/>
      </w:pPr>
      <w:r>
        <w:rPr>
          <w:b w:val="0"/>
          <w:i w:val="0"/>
        </w:rPr>
        <w:t>Virtual test · nominal shear coupon</w:t>
      </w:r>
    </w:p>
    <w:p>
      <w:hyperlink r:id="rId35">
        <w:r>
          <w:rPr>
            <w:color w:val="176EA4"/>
          </w:rPr>
          <w:t>∑ Theory &amp; assumptions</w:t>
        </w:r>
      </w:hyperlink>
      <w:r>
        <w:t xml:space="preserve"> </w:t>
      </w:r>
    </w:p>
    <w:p>
      <w:hyperlink r:id="rId36">
        <w:r>
          <w:rPr>
            <w:color w:val="176EA4"/>
          </w:rPr>
          <w:t>Guided exercise &amp; two-layer workflow </w:t>
        </w:r>
      </w:hyperlink>
      <w:r>
        <w:t xml:space="preserve"> </w:t>
      </w:r>
    </w:p>
    <w:p>
      <w:pPr>
        <w:keepNext/>
      </w:pPr>
      <w:r>
        <w:rPr>
          <w:b/>
          <w:i w:val="0"/>
        </w:rPr>
        <w:t xml:space="preserve">∑ </w:t>
      </w:r>
      <w:r>
        <w:rPr>
          <w:b/>
          <w:i w:val="0"/>
        </w:rPr>
        <w:t xml:space="preserve"> </w:t>
      </w:r>
      <w:r>
        <w:rPr>
          <w:b/>
          <w:i w:val="0"/>
        </w:rPr>
        <w:t>D5528 · DCB opening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r>
        <w:rPr>
          <w:b w:val="0"/>
          <w:i w:val="0"/>
        </w:rPr>
        <w:t>Ideal Euler–Bernoulli DCB with equal homogeneous 0° arms, each half the linked laminate thickness. No root rotation, shear, large displacement or cohesive growth. Critical load is an initiation estimate from supplied GIc.</w:t>
      </w:r>
    </w:p>
    <w:p>
      <w:pPr>
        <w:keepNext/>
      </w:pPr>
      <w:r>
        <w:rPr>
          <w:b/>
          <w:i w:val="0"/>
        </w:rPr>
        <w:t>Formulations and study choices</w:t>
      </w:r>
    </w:p>
    <w:p>
      <w:pPr>
        <w:pStyle w:val="ListBullet"/>
      </w:pPr>
      <w:r>
        <w:rPr>
          <w:b w:val="0"/>
          <w:i w:val="0"/>
        </w:rPr>
        <w:t>Virtual test · DCB beam compliance</w:t>
      </w:r>
    </w:p>
    <w:p>
      <w:hyperlink r:id="rId37">
        <w:r>
          <w:rPr>
            <w:color w:val="176EA4"/>
          </w:rPr>
          <w:t>∑ Theory &amp; assumptions</w:t>
        </w:r>
      </w:hyperlink>
      <w:r>
        <w:t xml:space="preserve"> </w:t>
      </w:r>
    </w:p>
    <w:p>
      <w:hyperlink r:id="rId38">
        <w:r>
          <w:rPr>
            <w:color w:val="176EA4"/>
          </w:rPr>
          <w:t>Guided exercise &amp; two-layer workflow </w:t>
        </w:r>
      </w:hyperlink>
      <w:r>
        <w:t xml:space="preserve"> </w:t>
      </w:r>
    </w:p>
    <w:p>
      <w:pPr>
        <w:keepNext/>
      </w:pPr>
      <w:r>
        <w:rPr>
          <w:b/>
          <w:i w:val="0"/>
        </w:rPr>
        <w:t xml:space="preserve">∑ </w:t>
      </w:r>
      <w:r>
        <w:rPr>
          <w:b/>
          <w:i w:val="0"/>
        </w:rPr>
        <w:t xml:space="preserve"> </w:t>
      </w:r>
      <w:r>
        <w:rPr>
          <w:b/>
          <w:i w:val="0"/>
        </w:rPr>
        <w:t>D7905 · ENF sliding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r>
        <w:rPr>
          <w:b w:val="0"/>
          <w:i w:val="0"/>
        </w:rPr>
        <w:t>Ideal equal-arm, homogeneous 0° ENF beam; support span is twice the half-span. Crack must be shorter than the half-span. No shear/root correction or unstable crack growth. GIIc is supplied, not fitted automatically.</w:t>
      </w:r>
    </w:p>
    <w:p>
      <w:pPr>
        <w:keepNext/>
      </w:pPr>
      <w:r>
        <w:rPr>
          <w:b/>
          <w:i w:val="0"/>
        </w:rPr>
        <w:t>Formulations and study choices</w:t>
      </w:r>
    </w:p>
    <w:p>
      <w:pPr>
        <w:pStyle w:val="ListBullet"/>
      </w:pPr>
      <w:r>
        <w:rPr>
          <w:b w:val="0"/>
          <w:i w:val="0"/>
        </w:rPr>
        <w:t>Virtual test · ENF beam compliance</w:t>
      </w:r>
    </w:p>
    <w:p>
      <w:hyperlink r:id="rId39">
        <w:r>
          <w:rPr>
            <w:color w:val="176EA4"/>
          </w:rPr>
          <w:t>∑ Theory &amp; assumptions</w:t>
        </w:r>
      </w:hyperlink>
      <w:r>
        <w:t xml:space="preserve"> </w:t>
      </w:r>
    </w:p>
    <w:p>
      <w:hyperlink r:id="rId40">
        <w:r>
          <w:rPr>
            <w:color w:val="176EA4"/>
          </w:rPr>
          <w:t>Guided exercise &amp; two-layer workflow </w:t>
        </w:r>
      </w:hyperlink>
      <w:r>
        <w:t xml:space="preserve"> </w:t>
      </w:r>
    </w:p>
    <w:p>
      <w:pPr>
        <w:keepNext/>
      </w:pPr>
      <w:r>
        <w:rPr>
          <w:b/>
          <w:i w:val="0"/>
        </w:rPr>
        <w:t xml:space="preserve">∑ </w:t>
      </w:r>
      <w:r>
        <w:rPr>
          <w:b/>
          <w:i w:val="0"/>
        </w:rPr>
        <w:t xml:space="preserve"> </w:t>
      </w:r>
      <w:r>
        <w:rPr>
          <w:b/>
          <w:i w:val="0"/>
        </w:rPr>
        <w:t>D6671 · Mixed-mode fracture envelope</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r>
        <w:rPr>
          <w:b w:val="0"/>
          <w:i w:val="0"/>
        </w:rPr>
        <w:t>Benzeggagh–Kenane envelope from calibrated GIc, GIIc and exponent. Supplied GI/GII are energy-release rates from a separate test reduction or analysis. This does not resolve the MMB lever fixture or propagate a crack.</w:t>
      </w:r>
    </w:p>
    <w:p>
      <w:pPr>
        <w:keepNext/>
      </w:pPr>
      <w:r>
        <w:rPr>
          <w:b/>
          <w:i w:val="0"/>
        </w:rPr>
        <w:t>Formulations and study choices</w:t>
      </w:r>
    </w:p>
    <w:p>
      <w:pPr>
        <w:pStyle w:val="ListBullet"/>
      </w:pPr>
      <w:r>
        <w:rPr>
          <w:b w:val="0"/>
          <w:i w:val="0"/>
        </w:rPr>
        <w:t>Virtual test · BK mixed-mode envelope</w:t>
      </w:r>
    </w:p>
    <w:p>
      <w:hyperlink r:id="rId41">
        <w:r>
          <w:rPr>
            <w:color w:val="176EA4"/>
          </w:rPr>
          <w:t>∑ Theory &amp; assumptions</w:t>
        </w:r>
      </w:hyperlink>
      <w:r>
        <w:t xml:space="preserve"> </w:t>
      </w:r>
    </w:p>
    <w:p>
      <w:hyperlink r:id="rId42">
        <w:r>
          <w:rPr>
            <w:color w:val="176EA4"/>
          </w:rPr>
          <w:t>Guided exercise &amp; two-layer workflow </w:t>
        </w:r>
      </w:hyperlink>
      <w:r>
        <w:t xml:space="preserve"> </w:t>
      </w:r>
    </w:p>
    <w:p>
      <w:pPr>
        <w:keepNext/>
      </w:pPr>
      <w:r>
        <w:rPr>
          <w:b/>
          <w:i w:val="0"/>
        </w:rPr>
        <w:t xml:space="preserve">∑ </w:t>
      </w:r>
      <w:r>
        <w:rPr>
          <w:b/>
          <w:i w:val="0"/>
        </w:rPr>
        <w:t xml:space="preserve"> </w:t>
      </w:r>
      <w:r>
        <w:rPr>
          <w:b/>
          <w:i w:val="0"/>
        </w:rPr>
        <w:t>D5961 · Bearing / bypass screening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keepNext/>
      </w:pPr>
      <w:r>
        <w:rPr>
          <w:b/>
          <w:i w:val="0"/>
        </w:rPr>
        <w:t>Formulations and study choices</w:t>
      </w:r>
    </w:p>
    <w:p>
      <w:pPr>
        <w:pStyle w:val="ListBullet"/>
      </w:pPr>
      <w:r>
        <w:rPr>
          <w:b w:val="0"/>
          <w:i w:val="0"/>
        </w:rPr>
        <w:t>Virtual test · bearing bypass screening</w:t>
      </w:r>
    </w:p>
    <w:p>
      <w:hyperlink r:id="rId45">
        <w:r>
          <w:rPr>
            <w:color w:val="176EA4"/>
          </w:rPr>
          <w:t>∑ Theory &amp; assumptions</w:t>
        </w:r>
      </w:hyperlink>
      <w:r>
        <w:t xml:space="preserve"> </w:t>
      </w:r>
    </w:p>
    <w:p>
      <w:hyperlink r:id="rId46">
        <w:r>
          <w:rPr>
            <w:color w:val="176EA4"/>
          </w:rPr>
          <w:t>Guided exercise &amp; two-layer workflow </w:t>
        </w:r>
      </w:hyperlink>
      <w:r>
        <w:t xml:space="preserve"> </w:t>
      </w:r>
    </w:p>
    <w:p>
      <w:pPr>
        <w:keepNext/>
      </w:pPr>
      <w:r>
        <w:rPr>
          <w:b/>
          <w:i w:val="0"/>
        </w:rPr>
        <w:t xml:space="preserve">∑ </w:t>
      </w:r>
      <w:r>
        <w:rPr>
          <w:b/>
          <w:i w:val="0"/>
        </w:rPr>
        <w:t xml:space="preserve"> </w:t>
      </w:r>
      <w:r>
        <w:rPr>
          <w:b/>
          <w:i w:val="0"/>
        </w:rPr>
        <w:t>D6484 · Open-hole compression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keepNext/>
      </w:pPr>
      <w:r>
        <w:rPr>
          <w:b/>
          <w:i w:val="0"/>
        </w:rPr>
        <w:t>Formulations and study choices</w:t>
      </w:r>
    </w:p>
    <w:p>
      <w:pPr>
        <w:pStyle w:val="ListBullet"/>
      </w:pPr>
      <w:r>
        <w:rPr>
          <w:b w:val="0"/>
          <w:i w:val="0"/>
        </w:rPr>
        <w:t>Virtual test · measured open-hole compression</w:t>
      </w:r>
    </w:p>
    <w:p>
      <w:hyperlink r:id="rId47">
        <w:r>
          <w:rPr>
            <w:color w:val="176EA4"/>
          </w:rPr>
          <w:t>∑ Theory &amp; assumptions</w:t>
        </w:r>
      </w:hyperlink>
      <w:r>
        <w:t xml:space="preserve"> </w:t>
      </w:r>
    </w:p>
    <w:p>
      <w:hyperlink r:id="rId48">
        <w:r>
          <w:rPr>
            <w:color w:val="176EA4"/>
          </w:rPr>
          <w:t>Guided exercise &amp; two-layer workflow </w:t>
        </w:r>
      </w:hyperlink>
      <w:r>
        <w:t xml:space="preserve"> </w:t>
      </w:r>
    </w:p>
    <w:p>
      <w:pPr>
        <w:keepNext/>
      </w:pPr>
      <w:r>
        <w:rPr>
          <w:b/>
          <w:i w:val="0"/>
        </w:rPr>
        <w:t xml:space="preserve">∑ </w:t>
      </w:r>
      <w:r>
        <w:rPr>
          <w:b/>
          <w:i w:val="0"/>
        </w:rPr>
        <w:t xml:space="preserve"> </w:t>
      </w:r>
      <w:r>
        <w:rPr>
          <w:b/>
          <w:i w:val="0"/>
        </w:rPr>
        <w:t>D6742 · Filled-hole comparison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keepNext/>
      </w:pPr>
      <w:r>
        <w:rPr>
          <w:b/>
          <w:i w:val="0"/>
        </w:rPr>
        <w:t>Formulations and study choices</w:t>
      </w:r>
    </w:p>
    <w:p>
      <w:pPr>
        <w:pStyle w:val="ListBullet"/>
      </w:pPr>
      <w:r>
        <w:rPr>
          <w:b w:val="0"/>
          <w:i w:val="0"/>
        </w:rPr>
        <w:t>Virtual test · measured filled-hole comparison</w:t>
      </w:r>
    </w:p>
    <w:p>
      <w:hyperlink r:id="rId49">
        <w:r>
          <w:rPr>
            <w:color w:val="176EA4"/>
          </w:rPr>
          <w:t>∑ Theory &amp; assumptions</w:t>
        </w:r>
      </w:hyperlink>
      <w:r>
        <w:t xml:space="preserve"> </w:t>
      </w:r>
    </w:p>
    <w:p>
      <w:hyperlink r:id="rId50">
        <w:r>
          <w:rPr>
            <w:color w:val="176EA4"/>
          </w:rPr>
          <w:t>Guided exercise &amp; two-layer workflow </w:t>
        </w:r>
      </w:hyperlink>
      <w:r>
        <w:t xml:space="preserve"> </w:t>
      </w:r>
    </w:p>
    <w:p>
      <w:pPr>
        <w:keepNext/>
      </w:pPr>
      <w:r>
        <w:rPr>
          <w:b/>
          <w:i w:val="0"/>
        </w:rPr>
        <w:t xml:space="preserve">∑ </w:t>
      </w:r>
      <w:r>
        <w:rPr>
          <w:b/>
          <w:i w:val="0"/>
        </w:rPr>
        <w:t xml:space="preserve"> </w:t>
      </w:r>
      <w:r>
        <w:rPr>
          <w:b/>
          <w:i w:val="0"/>
        </w:rPr>
        <w:t>D7136 / D7137 · Impact &amp; CAI assessment</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keepNext/>
      </w:pPr>
      <w:r>
        <w:rPr>
          <w:b/>
          <w:i w:val="0"/>
        </w:rPr>
        <w:t>Formulations and study choices</w:t>
      </w:r>
    </w:p>
    <w:p>
      <w:pPr>
        <w:pStyle w:val="ListBullet"/>
      </w:pPr>
      <w:r>
        <w:rPr>
          <w:b w:val="0"/>
          <w:i w:val="0"/>
        </w:rPr>
        <w:t>Virtual test · measured impact and CAI</w:t>
      </w:r>
    </w:p>
    <w:p>
      <w:hyperlink r:id="rId51">
        <w:r>
          <w:rPr>
            <w:color w:val="176EA4"/>
          </w:rPr>
          <w:t>∑ Theory &amp; assumptions</w:t>
        </w:r>
      </w:hyperlink>
      <w:r>
        <w:t xml:space="preserve"> </w:t>
      </w:r>
    </w:p>
    <w:p>
      <w:hyperlink r:id="rId52">
        <w:r>
          <w:rPr>
            <w:color w:val="176EA4"/>
          </w:rPr>
          <w:t>Guided exercise &amp; two-layer workflow </w:t>
        </w:r>
      </w:hyperlink>
      <w:r>
        <w:t xml:space="preserve"> </w:t>
      </w:r>
    </w:p>
    <w:p>
      <w:pPr>
        <w:keepNext/>
      </w:pPr>
      <w:r>
        <w:rPr>
          <w:b/>
          <w:i w:val="0"/>
        </w:rPr>
        <w:t xml:space="preserve">∑ </w:t>
      </w:r>
      <w:r>
        <w:rPr>
          <w:b/>
          <w:i w:val="0"/>
        </w:rPr>
        <w:t xml:space="preserve"> </w:t>
      </w:r>
      <w:r>
        <w:rPr>
          <w:b/>
          <w:i w:val="0"/>
        </w:rPr>
        <w:t>Open-hole strength</w:t>
      </w:r>
    </w:p>
    <w:p>
      <w:pPr/>
      <w:r>
        <w:rPr>
          <w:b w:val="0"/>
          <w:i w:val="0"/>
        </w:rPr>
        <w:t>Structural models → Laminate mechanics → Failure criteria → Open-hole strength</w:t>
      </w:r>
    </w:p>
    <w:p>
      <w:r>
        <w:rPr>
          <w:b w:val="0"/>
          <w:i w:val="0"/>
        </w:rPr>
        <w:t>Inputs</w:t>
      </w:r>
      <w:r>
        <w:t xml:space="preserve"> </w:t>
      </w:r>
      <w:r>
        <w:rPr>
          <w:b w:val="0"/>
          <w:i w:val="0"/>
        </w:rPr>
        <w:t>Specially orthotropic laminate, hole radius, unnotched strength and calibrated distances</w:t>
      </w:r>
      <w:r>
        <w:t xml:space="preserve"> </w:t>
      </w:r>
      <w:r>
        <w:rPr>
          <w:b w:val="0"/>
          <w:i w:val="0"/>
        </w:rPr>
        <w:t>Results / handoff</w:t>
      </w:r>
      <w:r>
        <w:t xml:space="preserve"> </w:t>
      </w:r>
      <w:r>
        <w:rPr>
          <w:b w:val="0"/>
          <w:i w:val="0"/>
        </w:rPr>
        <w:t>Point / average stress strength screening and radial stress profile</w:t>
      </w:r>
    </w:p>
    <w:p>
      <w:pPr/>
      <w:r>
        <w:rPr>
          <w:b w:val="0"/>
          <w:i w:val="0"/>
        </w:rPr>
        <w:t>Infinite-width, specially orthotropic tension screening. Point and average stress distances must be calibrated independently for this laminate. Not compression, bearing or a joint allowable.</w:t>
      </w:r>
    </w:p>
    <w:p>
      <w:pPr>
        <w:keepNext/>
      </w:pPr>
      <w:r>
        <w:rPr>
          <w:b/>
          <w:i w:val="0"/>
        </w:rPr>
        <w:t>Formulations and study choices</w:t>
      </w:r>
    </w:p>
    <w:p>
      <w:pPr>
        <w:pStyle w:val="ListBullet"/>
      </w:pPr>
      <w:r>
        <w:rPr>
          <w:b w:val="0"/>
          <w:i w:val="0"/>
        </w:rPr>
        <w:t>Whitney–Nuismer open-hole tension</w:t>
      </w:r>
    </w:p>
    <w:p>
      <w:hyperlink r:id="rId53">
        <w:r>
          <w:rPr>
            <w:color w:val="176EA4"/>
          </w:rPr>
          <w:t>∑ Theory &amp; assumptions</w:t>
        </w:r>
      </w:hyperlink>
      <w:r>
        <w:t xml:space="preserve"> </w:t>
      </w:r>
    </w:p>
    <w:p>
      <w:hyperlink r:id="rId54">
        <w:r>
          <w:rPr>
            <w:color w:val="176EA4"/>
          </w:rPr>
          <w:t>Guided exercise &amp; two-layer workflow </w:t>
        </w:r>
      </w:hyperlink>
      <w:r>
        <w:t xml:space="preserve"> </w:t>
      </w:r>
    </w:p>
    <w:p>
      <w:pPr>
        <w:keepNext/>
      </w:pPr>
      <w:r>
        <w:rPr>
          <w:b/>
          <w:i w:val="0"/>
        </w:rPr>
        <w:t xml:space="preserve">∑ </w:t>
      </w:r>
      <w:r>
        <w:rPr>
          <w:b/>
          <w:i w:val="0"/>
        </w:rPr>
        <w:t xml:space="preserve"> </w:t>
      </w:r>
      <w:r>
        <w:rPr>
          <w:b/>
          <w:i w:val="0"/>
        </w:rPr>
        <w:t>Creep &amp; stress relaxation</w:t>
      </w:r>
    </w:p>
    <w:p>
      <w:pPr/>
      <w:r>
        <w:rPr>
          <w:b w:val="0"/>
          <w:i w:val="0"/>
        </w:rPr>
        <w:t>Structural models → Laminate mechanics → Creep &amp; stress relaxation</w:t>
      </w:r>
    </w:p>
    <w:p>
      <w:r>
        <w:rPr>
          <w:b w:val="0"/>
          <w:i w:val="0"/>
        </w:rPr>
        <w:t>Inputs</w:t>
      </w:r>
      <w:r>
        <w:t xml:space="preserve"> </w:t>
      </w:r>
      <w:r>
        <w:rPr>
          <w:b w:val="0"/>
          <w:i w:val="0"/>
        </w:rPr>
        <w:t>Laminate Ex, Prony fractions / times and held stress or strain at calibration temperature</w:t>
      </w:r>
      <w:r>
        <w:t xml:space="preserve"> </w:t>
      </w:r>
      <w:r>
        <w:rPr>
          <w:b w:val="0"/>
          <w:i w:val="0"/>
        </w:rPr>
        <w:t>Results / handoff</w:t>
      </w:r>
      <w:r>
        <w:t xml:space="preserve"> </w:t>
      </w:r>
      <w:r>
        <w:rPr>
          <w:b w:val="0"/>
          <w:i w:val="0"/>
        </w:rPr>
        <w:t>Separate axial creep and relaxation curves with time-refinement safeguards</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keepNext/>
      </w:pPr>
      <w:r>
        <w:rPr>
          <w:b/>
          <w:i w:val="0"/>
        </w:rPr>
        <w:t>Formulations and study choices</w:t>
      </w:r>
    </w:p>
    <w:p>
      <w:pPr>
        <w:pStyle w:val="ListBullet"/>
      </w:pPr>
      <w:r>
        <w:rPr>
          <w:b w:val="0"/>
          <w:i w:val="0"/>
        </w:rPr>
        <w:t>Generalized Maxwell · axial Prony</w:t>
      </w:r>
    </w:p>
    <w:p>
      <w:hyperlink r:id="rId55">
        <w:r>
          <w:rPr>
            <w:color w:val="176EA4"/>
          </w:rPr>
          <w:t>∑ Theory &amp; assumptions</w:t>
        </w:r>
      </w:hyperlink>
      <w:r>
        <w:t xml:space="preserve"> </w:t>
      </w:r>
    </w:p>
    <w:p>
      <w:hyperlink r:id="rId56">
        <w:r>
          <w:rPr>
            <w:color w:val="176EA4"/>
          </w:rPr>
          <w:t>Guided exercise &amp; two-layer workflow </w:t>
        </w:r>
      </w:hyperlink>
      <w:r>
        <w:t xml:space="preserve"> </w:t>
      </w:r>
    </w:p>
    <w:p>
      <w:pPr>
        <w:keepNext/>
      </w:pPr>
      <w:r>
        <w:rPr>
          <w:b/>
          <w:i w:val="0"/>
        </w:rPr>
        <w:t xml:space="preserve">∑ </w:t>
      </w:r>
      <w:r>
        <w:rPr>
          <w:b/>
          <w:i w:val="0"/>
        </w:rPr>
        <w:t xml:space="preserve"> </w:t>
      </w:r>
      <w:r>
        <w:rPr>
          <w:b/>
          <w:i w:val="0"/>
        </w:rPr>
        <w:t>LaRC04 failure initiation</w:t>
      </w:r>
    </w:p>
    <w:p>
      <w:pPr/>
      <w:r>
        <w:rPr>
          <w:b w:val="0"/>
          <w:i w:val="0"/>
        </w:rPr>
        <w:t>Structural models → Laminate mechanics → Failure criteria → LaRC04</w:t>
      </w:r>
    </w:p>
    <w:p>
      <w:r>
        <w:rPr>
          <w:b w:val="0"/>
          <w:i w:val="0"/>
        </w:rPr>
        <w:t>Inputs</w:t>
      </w:r>
      <w:r>
        <w:t xml:space="preserve"> </w:t>
      </w:r>
      <w:r>
        <w:rPr>
          <w:b w:val="0"/>
          <w:i w:val="0"/>
        </w:rPr>
        <w:t>Laminate, membrane / bending resultants and calibrated effective ply strengths</w:t>
      </w:r>
      <w:r>
        <w:t xml:space="preserve"> </w:t>
      </w:r>
      <w:r>
        <w:rPr>
          <w:b w:val="0"/>
          <w:i w:val="0"/>
        </w:rPr>
        <w:t>Results / handoff</w:t>
      </w:r>
      <w:r>
        <w:t xml:space="preserve"> </w:t>
      </w:r>
      <w:r>
        <w:rPr>
          <w:b w:val="0"/>
          <w:i w:val="0"/>
        </w:rPr>
        <w:t>Linear-shear LaRC04 initiation indices at ply faces; no progressive degradation</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keepNext/>
      </w:pPr>
      <w:r>
        <w:rPr>
          <w:b/>
          <w:i w:val="0"/>
        </w:rPr>
        <w:t>Formulations and study choices</w:t>
      </w:r>
    </w:p>
    <w:p>
      <w:pPr>
        <w:pStyle w:val="ListBullet"/>
      </w:pPr>
      <w:r>
        <w:rPr>
          <w:b w:val="0"/>
          <w:i w:val="0"/>
        </w:rPr>
        <w:t>LaRC04 · linear shear</w:t>
      </w:r>
    </w:p>
    <w:p>
      <w:hyperlink r:id="rId59">
        <w:r>
          <w:rPr>
            <w:color w:val="176EA4"/>
          </w:rPr>
          <w:t>∑ Theory &amp; assumptions</w:t>
        </w:r>
      </w:hyperlink>
      <w:r>
        <w:t xml:space="preserve"> </w:t>
      </w:r>
    </w:p>
    <w:p>
      <w:hyperlink r:id="rId60">
        <w:r>
          <w:rPr>
            <w:color w:val="176EA4"/>
          </w:rPr>
          <w:t>Guided exercise &amp; two-layer workflow </w:t>
        </w:r>
      </w:hyperlink>
      <w:r>
        <w:t xml:space="preserve"> </w:t>
      </w:r>
    </w:p>
    <w:p>
      <w:pPr>
        <w:keepNext/>
      </w:pPr>
      <w:r>
        <w:rPr>
          <w:b/>
          <w:i w:val="0"/>
        </w:rPr>
        <w:t xml:space="preserve">∑ </w:t>
      </w:r>
      <w:r>
        <w:rPr>
          <w:b/>
          <w:i w:val="0"/>
        </w:rPr>
        <w:t xml:space="preserve"> </w:t>
      </w:r>
      <w:r>
        <w:rPr>
          <w:b/>
          <w:i w:val="0"/>
        </w:rPr>
        <w:t>Uncertainty &amp; sensitivity</w:t>
      </w:r>
    </w:p>
    <w:p>
      <w:pPr/>
      <w:r>
        <w:rPr>
          <w:b w:val="0"/>
          <w:i w:val="0"/>
        </w:rPr>
        <w:t>Structural models → Uncertainty &amp; sensitivity</w:t>
      </w:r>
    </w:p>
    <w:p>
      <w:r>
        <w:rPr>
          <w:b w:val="0"/>
          <w:i w:val="0"/>
        </w:rPr>
        <w:t>Inputs</w:t>
      </w:r>
      <w:r>
        <w:t xml:space="preserve"> </w:t>
      </w:r>
      <w:r>
        <w:rPr>
          <w:b w:val="0"/>
          <w:i w:val="0"/>
        </w:rPr>
        <w:t>Laminate, bounded modulus / thickness / angle variations, seed and axial load</w:t>
      </w:r>
      <w:r>
        <w:t xml:space="preserve"> </w:t>
      </w:r>
      <w:r>
        <w:rPr>
          <w:b w:val="0"/>
          <w:i w:val="0"/>
        </w:rPr>
        <w:t>Results / handoff</w:t>
      </w:r>
      <w:r>
        <w:t xml:space="preserve"> </w:t>
      </w:r>
      <w:r>
        <w:rPr>
          <w:b w:val="0"/>
          <w:i w:val="0"/>
        </w:rPr>
        <w:t>ABD axial-strain percentiles and signed correlations; not certified reliability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keepNext/>
      </w:pPr>
      <w:r>
        <w:rPr>
          <w:b/>
          <w:i w:val="0"/>
        </w:rPr>
        <w:t>Formulations and study choices</w:t>
      </w:r>
    </w:p>
    <w:p>
      <w:pPr>
        <w:pStyle w:val="ListBullet"/>
      </w:pPr>
      <w:r>
        <w:rPr>
          <w:b w:val="0"/>
          <w:i w:val="0"/>
        </w:rPr>
        <w:t>Seeded laminate uncertainty</w:t>
      </w:r>
    </w:p>
    <w:p>
      <w:hyperlink r:id="rId67">
        <w:r>
          <w:rPr>
            <w:color w:val="176EA4"/>
          </w:rPr>
          <w:t>∑ Theory &amp; assumptions</w:t>
        </w:r>
      </w:hyperlink>
      <w:r>
        <w:t xml:space="preserve"> </w:t>
      </w:r>
    </w:p>
    <w:p>
      <w:hyperlink r:id="rId68">
        <w:r>
          <w:rPr>
            <w:color w:val="176EA4"/>
          </w:rPr>
          <w:t>Guided exercise &amp; two-layer workflow </w:t>
        </w:r>
      </w:hyperlink>
      <w:r>
        <w:t xml:space="preserve"> </w:t>
      </w:r>
    </w:p>
    <w:p>
      <w:pPr>
        <w:keepNext/>
      </w:pPr>
      <w:r>
        <w:rPr>
          <w:b/>
          <w:i w:val="0"/>
        </w:rPr>
        <w:t xml:space="preserve">∑ </w:t>
      </w:r>
      <w:r>
        <w:rPr>
          <w:b/>
          <w:i w:val="0"/>
        </w:rPr>
        <w:t xml:space="preserve"> </w:t>
      </w:r>
      <w:r>
        <w:rPr>
          <w:b/>
          <w:i w:val="0"/>
        </w:rPr>
        <w:t>Normal-incidence laminate TMM</w:t>
      </w:r>
    </w:p>
    <w:p>
      <w:pPr/>
      <w:r>
        <w:rPr>
          <w:b w:val="0"/>
          <w:i w:val="0"/>
        </w:rPr>
        <w:t>Models → Electromagnetics · RF → Normal-incidence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r>
        <w:rPr>
          <w:b w:val="0"/>
          <w:i w:val="0"/>
        </w:rPr>
        <w:t>Coherent isotropic nonmagnetic layers between air half-spaces.</w:t>
      </w:r>
    </w:p>
    <w:p>
      <w:pPr>
        <w:keepNext/>
      </w:pPr>
      <w:r>
        <w:rPr>
          <w:b/>
          <w:i w:val="0"/>
        </w:rPr>
        <w:t>Formulations and study choices</w:t>
      </w:r>
    </w:p>
    <w:p>
      <w:pPr>
        <w:pStyle w:val="ListBullet"/>
      </w:pPr>
      <w:r>
        <w:rPr>
          <w:b w:val="0"/>
          <w:i w:val="0"/>
        </w:rPr>
        <w:t>EM · Normal-incidence laminate TMM</w:t>
      </w:r>
    </w:p>
    <w:p>
      <w:hyperlink r:id="rId75">
        <w:r>
          <w:rPr>
            <w:color w:val="176EA4"/>
          </w:rPr>
          <w:t>∑ Theory &amp; assumptions</w:t>
        </w:r>
      </w:hyperlink>
      <w:r>
        <w:t xml:space="preserve"> </w:t>
      </w:r>
    </w:p>
    <w:p>
      <w:hyperlink r:id="rId76">
        <w:r>
          <w:rPr>
            <w:color w:val="176EA4"/>
          </w:rPr>
          <w:t>Guided exercise &amp; two-layer workflow </w:t>
        </w:r>
      </w:hyperlink>
      <w:r>
        <w:t xml:space="preserve"> </w:t>
      </w:r>
    </w:p>
    <w:p>
      <w:pPr>
        <w:keepNext/>
      </w:pPr>
      <w:r>
        <w:rPr>
          <w:b/>
          <w:i w:val="0"/>
        </w:rPr>
        <w:t xml:space="preserve">∑ </w:t>
      </w:r>
      <w:r>
        <w:rPr>
          <w:b/>
          <w:i w:val="0"/>
        </w:rPr>
        <w:t xml:space="preserve"> </w:t>
      </w:r>
      <w:r>
        <w:rPr>
          <w:b/>
          <w:i w:val="0"/>
        </w:rPr>
        <w:t>Oblique polarized laminate TMM</w:t>
      </w:r>
    </w:p>
    <w:p>
      <w:pPr/>
      <w:r>
        <w:rPr>
          <w:b w:val="0"/>
          <w:i w:val="0"/>
        </w:rPr>
        <w:t>Models → Electromagnetics · RF → Oblique polarized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r>
        <w:rPr>
          <w:b w:val="0"/>
          <w:i w:val="0"/>
        </w:rPr>
        <w:t>TE or TM waves; scalar isotropic layers, no polarization conversion.</w:t>
      </w:r>
    </w:p>
    <w:p>
      <w:pPr>
        <w:keepNext/>
      </w:pPr>
      <w:r>
        <w:rPr>
          <w:b/>
          <w:i w:val="0"/>
        </w:rPr>
        <w:t>Formulations and study choices</w:t>
      </w:r>
    </w:p>
    <w:p>
      <w:pPr>
        <w:pStyle w:val="ListBullet"/>
      </w:pPr>
      <w:r>
        <w:rPr>
          <w:b w:val="0"/>
          <w:i w:val="0"/>
        </w:rPr>
        <w:t>EM · Oblique polarized laminate TMM</w:t>
      </w:r>
    </w:p>
    <w:p>
      <w:hyperlink r:id="rId89">
        <w:r>
          <w:rPr>
            <w:color w:val="176EA4"/>
          </w:rPr>
          <w:t>∑ Theory &amp; assumptions</w:t>
        </w:r>
      </w:hyperlink>
      <w:r>
        <w:t xml:space="preserve"> </w:t>
      </w:r>
    </w:p>
    <w:p>
      <w:hyperlink r:id="rId90">
        <w:r>
          <w:rPr>
            <w:color w:val="176EA4"/>
          </w:rPr>
          <w:t>Guided exercise &amp; two-layer workflow </w:t>
        </w:r>
      </w:hyperlink>
      <w:r>
        <w:t xml:space="preserve"> </w:t>
      </w:r>
    </w:p>
    <w:p>
      <w:pPr>
        <w:keepNext/>
      </w:pPr>
      <w:r>
        <w:rPr>
          <w:b/>
          <w:i w:val="0"/>
        </w:rPr>
        <w:t xml:space="preserve">∑ </w:t>
      </w:r>
      <w:r>
        <w:rPr>
          <w:b/>
          <w:i w:val="0"/>
        </w:rPr>
        <w:t xml:space="preserve"> </w:t>
      </w:r>
      <w:r>
        <w:rPr>
          <w:b/>
          <w:i w:val="0"/>
        </w:rPr>
        <w:t>1D transmission line matrix</w:t>
      </w:r>
    </w:p>
    <w:p>
      <w:pPr/>
      <w:r>
        <w:rPr>
          <w:b w:val="0"/>
          <w:i w:val="0"/>
        </w:rPr>
        <w:t>Models → Electromagnetics · RF → 1D transmission line matrix</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Reflected and transmitted pulse histories and spectra; mesh and energy checks</w:t>
      </w:r>
    </w:p>
    <w:p>
      <w:pPr/>
      <w:r>
        <w:rPr>
          <w:b w:val="0"/>
          <w:i w:val="0"/>
        </w:rPr>
        <w:t>Normal-incidence lossless delay-line mesh with pulse decay, energy and mesh-refinement safeguards. Explicit Run required; not a 3D solver.</w:t>
      </w:r>
    </w:p>
    <w:p>
      <w:pPr>
        <w:keepNext/>
      </w:pPr>
      <w:r>
        <w:rPr>
          <w:b/>
          <w:i w:val="0"/>
        </w:rPr>
        <w:t>Formulations and study choices</w:t>
      </w:r>
    </w:p>
    <w:p>
      <w:pPr>
        <w:pStyle w:val="ListBullet"/>
      </w:pPr>
      <w:r>
        <w:rPr>
          <w:b w:val="0"/>
          <w:i w:val="0"/>
        </w:rPr>
        <w:t>EM · 1D transmission line matrix</w:t>
      </w:r>
    </w:p>
    <w:p>
      <w:hyperlink r:id="rId91">
        <w:r>
          <w:rPr>
            <w:color w:val="176EA4"/>
          </w:rPr>
          <w:t>∑ Theory &amp; assumptions</w:t>
        </w:r>
      </w:hyperlink>
      <w:r>
        <w:t xml:space="preserve"> </w:t>
      </w:r>
    </w:p>
    <w:p>
      <w:hyperlink r:id="rId92">
        <w:r>
          <w:rPr>
            <w:color w:val="176EA4"/>
          </w:rPr>
          <w:t>Guided exercise &amp; two-layer workflow </w:t>
        </w:r>
      </w:hyperlink>
      <w:r>
        <w:t xml:space="preserve"> </w:t>
      </w:r>
    </w:p>
    <w:p>
      <w:pPr>
        <w:keepNext/>
      </w:pPr>
      <w:r>
        <w:rPr>
          <w:b/>
          <w:i w:val="0"/>
        </w:rPr>
        <w:t xml:space="preserve">∑ </w:t>
      </w:r>
      <w:r>
        <w:rPr>
          <w:b/>
          <w:i w:val="0"/>
        </w:rPr>
        <w:t xml:space="preserve"> </w:t>
      </w:r>
      <w:r>
        <w:rPr>
          <w:b/>
          <w:i w:val="0"/>
        </w:rPr>
        <w:t>1D Floquet–Bloch periodic layers</w:t>
      </w:r>
    </w:p>
    <w:p>
      <w:pPr/>
      <w:r>
        <w:rPr>
          <w:b w:val="0"/>
          <w:i w:val="0"/>
        </w:rPr>
        <w:t>Models → Electromagnetics · RF → 1D Floquet–Bloch periodic layers</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Periodic-cell eigenvalues, folded Bloch phase and stop-band decay</w:t>
      </w:r>
    </w:p>
    <w:p>
      <w:pPr/>
      <w:r>
        <w:rPr>
          <w:b w:val="0"/>
          <w:i w:val="0"/>
        </w:rPr>
        <w:t>Lossless isotropic A/B unit-cell eigenvalues, folded Bloch phase and stop-band attenuation at normal incidence. Not arbitrary-cell homogenization.</w:t>
      </w:r>
    </w:p>
    <w:p>
      <w:pPr>
        <w:keepNext/>
      </w:pPr>
      <w:r>
        <w:rPr>
          <w:b/>
          <w:i w:val="0"/>
        </w:rPr>
        <w:t>Formulations and study choices</w:t>
      </w:r>
    </w:p>
    <w:p>
      <w:pPr>
        <w:pStyle w:val="ListBullet"/>
      </w:pPr>
      <w:r>
        <w:rPr>
          <w:b w:val="0"/>
          <w:i w:val="0"/>
        </w:rPr>
        <w:t>EM · 1D Floquet–Bloch periodic layers</w:t>
      </w:r>
    </w:p>
    <w:p>
      <w:hyperlink r:id="rId93">
        <w:r>
          <w:rPr>
            <w:color w:val="176EA4"/>
          </w:rPr>
          <w:t>∑ Theory &amp; assumptions</w:t>
        </w:r>
      </w:hyperlink>
      <w:r>
        <w:t xml:space="preserve"> </w:t>
      </w:r>
    </w:p>
    <w:p>
      <w:hyperlink r:id="rId94">
        <w:r>
          <w:rPr>
            <w:color w:val="176EA4"/>
          </w:rPr>
          <w:t>Guided exercise &amp; two-layer workflow </w:t>
        </w:r>
      </w:hyperlink>
      <w:r>
        <w:t xml:space="preserve"> </w:t>
      </w:r>
    </w:p>
    <w:p>
      <w:hyperlink r:id="rId117">
        <w:r>
          <w:rPr>
            <w:color w:val="176EA4"/>
          </w:rPr>
          <w:t>Next workflow page 03.4 Processing →</w:t>
        </w:r>
      </w:hyperlink>
      <w:r>
        <w:t xml:space="preserve"> </w:t>
      </w:r>
    </w:p>
    <w:p>
      <w:bookmarkStart w:id="6" w:name="chapter_6"/>
      <w:pPr>
        <w:pStyle w:val="Heading1"/>
        <w:pageBreakBefore/>
      </w:pPr>
      <w:r>
        <w:t>6 Build a trusted materials foundation</w:t>
      </w:r>
      <w:bookmarkEnd w:id="6"/>
    </w:p>
    <w:p>
      <w:pPr>
        <w:pStyle w:val="Caption"/>
      </w:pPr>
      <w:hyperlink r:id="rId113">
        <w:r>
          <w:rPr>
            <w:color w:val="176EA4"/>
          </w:rPr>
          <w:t>Online chapter</w:t>
        </w:r>
      </w:hyperlink>
      <w:r>
        <w:t xml:space="preserve"> </w:t>
      </w:r>
    </w:p>
    <w:p>
      <w:pPr/>
      <w:r>
        <w:rPr>
          <w:b w:val="0"/>
          <w:i w:val="0"/>
        </w:rPr>
        <w:t>Organize source-aware constituents, vendor records, prepregs, adhesives, cores, sandwich systems, diffusion data, cure kinetics, crystallization kinetics, reaction heat, and process shrinkage into reusable engineering records.</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7" name="Picture 7" descr="CDS workflow or model illustration"/>
            <wp:cNvGraphicFramePr>
              <a:graphicFrameLocks noChangeAspect="1"/>
            </wp:cNvGraphicFramePr>
            <a:graphic>
              <a:graphicData uri="http://schemas.openxmlformats.org/drawingml/2006/picture">
                <pic:pic>
                  <pic:nvPicPr>
                    <pic:cNvPr id="0" name="rsvg-f24009332ae24c1362f2b359ad36a7ce9c736e742dd0a83654e84abeb7e1313b.png"/>
                    <pic:cNvPicPr/>
                  </pic:nvPicPr>
                  <pic:blipFill>
                    <a:blip r:embed="rId100"/>
                    <a:stretch>
                      <a:fillRect/>
                    </a:stretch>
                  </pic:blipFill>
                  <pic:spPr>
                    <a:xfrm>
                      <a:off x="0" y="0"/>
                      <a:ext cx="6217920" cy="1935767"/>
                    </a:xfrm>
                    <a:prstGeom prst="rect"/>
                  </pic:spPr>
                </pic:pic>
              </a:graphicData>
            </a:graphic>
          </wp:inline>
        </w:drawing>
      </w:r>
    </w:p>
    <w:p>
      <w:pPr/>
      <w:r>
        <w:rPr>
          <w:b w:val="0"/>
          <w:i w:val="0"/>
        </w:rPr>
        <w:t>Materials → Micro → Laminate.</w:t>
      </w:r>
    </w:p>
    <w:p>
      <w:pPr/>
      <w:r>
        <w:rPr>
          <w:b w:val="0"/>
          <w:i w:val="0"/>
        </w:rPr>
        <w:t>03.1</w:t>
      </w:r>
      <w:r>
        <w:rPr>
          <w:b w:val="0"/>
          <w:i w:val="0"/>
        </w:rPr>
        <w:t xml:space="preserve"> </w:t>
      </w:r>
      <w:r>
        <w:rPr>
          <w:b w:val="0"/>
          <w:i w:val="0"/>
        </w:rPr>
        <w:t xml:space="preserve"> / Workflow focus</w:t>
      </w:r>
    </w:p>
    <w:p>
      <w:pPr/>
      <w:r>
        <w:rPr>
          <w:b w:val="0"/>
          <w:i w:val="0"/>
        </w:rPr>
        <w:t>Connected engineering record</w:t>
      </w:r>
    </w:p>
    <w:p>
      <w:pPr>
        <w:pStyle w:val="Heading2"/>
      </w:pPr>
      <w:r>
        <w:t>Source-aware constituents</w:t>
      </w:r>
    </w:p>
    <w:p>
      <w:pPr/>
      <w:r>
        <w:rPr>
          <w:b w:val="0"/>
          <w:i w:val="0"/>
        </w:rPr>
        <w:t>Keep elastic, strength, density and transport data with their units, sources and calibration basis.</w:t>
      </w:r>
    </w:p>
    <w:p>
      <w:pPr>
        <w:pStyle w:val="Heading2"/>
      </w:pPr>
      <w:r>
        <w:t>Material models</w:t>
      </w:r>
    </w:p>
    <w:p>
      <w:pPr/>
      <w:r>
        <w:rPr>
          <w:b w:val="0"/>
          <w:i w:val="0"/>
        </w:rPr>
        <w:t>Assign calibrated cure, crystallization, modulus or transport models through the material record. A model sitting in the tree does not contribute until it is linked.</w:t>
      </w:r>
    </w:p>
    <w:p>
      <w:pPr>
        <w:pStyle w:val="Heading2"/>
      </w:pPr>
      <w:r>
        <w:t>Measured or predicted plies</w:t>
      </w:r>
    </w:p>
    <w:p>
      <w:pPr/>
      <w:r>
        <w:rPr>
          <w:b w:val="0"/>
          <w:i w:val="0"/>
        </w:rPr>
        <w:t>A laminate ply can use a stored material or linked Micro recipe. Check the resolved properties before selecting the structural study.</w:t>
      </w:r>
    </w:p>
    <w:p>
      <w:pPr>
        <w:pStyle w:val="Heading2"/>
      </w:pPr>
      <w:r>
        <w:t>Data handoff</w:t>
      </w:r>
    </w:p>
    <w:p>
      <w:pPr/>
      <w:r>
        <w:rPr>
          <w:b w:val="0"/>
          <w:i w:val="0"/>
        </w:rPr>
        <w:t>Materials feed Micro and the linked laminate. Compatible transport studies evaluate the selected material laws; not every structural study includes processing.</w:t>
      </w:r>
    </w:p>
    <w:p>
      <w:pPr/>
      <w:r>
        <w:rPr>
          <w:b w:val="0"/>
          <w:i w:val="0"/>
        </w:rPr>
        <w:t xml:space="preserve">Workbench availability: </w:t>
      </w:r>
      <w:hyperlink r:id="rId101">
        <w:r>
          <w:rPr>
            <w:color w:val="176EA4"/>
          </w:rPr>
          <w:t>released models, inputs and compatible study paths</w:t>
        </w:r>
      </w:hyperlink>
      <w:r>
        <w:t xml:space="preserve"> </w:t>
      </w:r>
      <w:r>
        <w:rPr>
          <w:b w:val="0"/>
          <w:i w:val="0"/>
        </w:rPr>
        <w:t>. The wider theory library includes reference formulations not available in every Workbench solve.</w:t>
      </w:r>
    </w:p>
    <w:p>
      <w:pPr/>
      <w:hyperlink r:id="rId112">
        <w:r>
          <w:rPr>
            <w:color w:val="176EA4"/>
          </w:rPr>
          <w:t>Use this workflow in Workbench: interactive Blocks, record selections and connection controls →</w:t>
        </w:r>
      </w:hyperlink>
      <w:r>
        <w:t xml:space="preserve"> </w:t>
      </w:r>
    </w:p>
    <w:p>
      <w:pPr>
        <w:pStyle w:val="Heading2"/>
      </w:pPr>
      <w:r>
        <w:t>Materials released model connections</w:t>
      </w:r>
    </w:p>
    <w:p>
      <w:pPr/>
      <w:r>
        <w:rPr>
          <w:b w:val="0"/>
          <w:i w:val="0"/>
        </w:rPr>
        <w:t xml:space="preserve">Expand a family for inputs, outputs, supported formulations, theory and an exercise. </w:t>
      </w:r>
      <w:hyperlink r:id="rId101">
        <w:r>
          <w:rPr>
            <w:color w:val="176EA4"/>
          </w:rPr>
          <w:t>All model families </w:t>
        </w:r>
      </w:hyperlink>
      <w:r>
        <w:t xml:space="preserve"> </w:t>
      </w:r>
    </w:p>
    <w:p>
      <w:pPr>
        <w:keepNext/>
      </w:pPr>
      <w:r>
        <w:rPr>
          <w:b/>
          <w:i w:val="0"/>
        </w:rPr>
        <w:t xml:space="preserve">∑ </w:t>
      </w:r>
      <w:r>
        <w:rPr>
          <w:b/>
          <w:i w:val="0"/>
        </w:rPr>
        <w:t xml:space="preserve"> </w:t>
      </w:r>
      <w:r>
        <w:rPr>
          <w:b/>
          <w:i w:val="0"/>
        </w:rPr>
        <w:t>Cure, crystallization &amp; material transport</w:t>
      </w:r>
    </w:p>
    <w:p>
      <w:pPr/>
      <w:r>
        <w:rPr>
          <w:b w:val="0"/>
          <w:i w:val="0"/>
        </w:rPr>
        <w:t>Models → material-model folders · assigned through Materials</w:t>
      </w:r>
    </w:p>
    <w:p>
      <w:r>
        <w:rPr>
          <w:b w:val="0"/>
          <w:i w:val="0"/>
        </w:rPr>
        <w:t>Inputs</w:t>
      </w:r>
      <w:r>
        <w:t xml:space="preserve"> </w:t>
      </w:r>
      <w:r>
        <w:rPr>
          <w:b w:val="0"/>
          <w:i w:val="0"/>
        </w:rPr>
        <w:t>Calibrated kinetics, modulus or transport laws and material assignment</w:t>
      </w:r>
      <w:r>
        <w:t xml:space="preserve"> </w:t>
      </w:r>
      <w:r>
        <w:rPr>
          <w:b w:val="0"/>
          <w:i w:val="0"/>
        </w:rPr>
        <w:t>Results / handoff</w:t>
      </w:r>
      <w:r>
        <w:t xml:space="preserve"> </w:t>
      </w:r>
      <w:r>
        <w:rPr>
          <w:b w:val="0"/>
          <w:i w:val="0"/>
        </w:rPr>
        <w:t>Material laws consumed by compatible Micro or transport calculations</w:t>
      </w:r>
    </w:p>
    <w:p>
      <w:pPr/>
      <w:r>
        <w:rPr>
          <w:b w:val="0"/>
          <w:i w:val="0"/>
        </w:rPr>
        <w:t>Independent model records can be linked together through material inputs. A saved model must be assigned to a material before it contributes to a simulation.</w:t>
      </w:r>
    </w:p>
    <w:p>
      <w:pPr>
        <w:keepNext/>
      </w:pPr>
      <w:r>
        <w:rPr>
          <w:b/>
          <w:i w:val="0"/>
        </w:rPr>
        <w:t>Formulations and study choices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hyperlink r:id="rId16">
        <w:r>
          <w:rPr>
            <w:color w:val="176EA4"/>
          </w:rPr>
          <w:t>∑ Theory &amp; assumptions</w:t>
        </w:r>
      </w:hyperlink>
      <w:r>
        <w:t xml:space="preserve"> </w:t>
      </w:r>
    </w:p>
    <w:p>
      <w:hyperlink r:id="rId17">
        <w:r>
          <w:rPr>
            <w:color w:val="176EA4"/>
          </w:rPr>
          <w:t>Guided exercise &amp; two-layer workflow </w:t>
        </w:r>
      </w:hyperlink>
      <w:r>
        <w:t xml:space="preserve"> </w:t>
      </w:r>
    </w:p>
    <w:p>
      <w:pPr/>
      <w:r>
        <w:rPr>
          <w:b w:val="0"/>
          <w:i w:val="0"/>
        </w:rPr>
        <w:t xml:space="preserve"> · </w:t>
      </w:r>
      <w:hyperlink r:id="rId102">
        <w:r>
          <w:rPr>
            <w:color w:val="176EA4"/>
          </w:rPr>
          <w:t>Cure kinetics</w:t>
        </w:r>
      </w:hyperlink>
      <w:r>
        <w:t xml:space="preserve"> </w:t>
      </w:r>
    </w:p>
    <w:p>
      <w:pPr/>
      <w:r>
        <w:rPr>
          <w:b w:val="0"/>
          <w:i w:val="0"/>
        </w:rPr>
        <w:t xml:space="preserve"> · </w:t>
      </w:r>
      <w:hyperlink r:id="rId103">
        <w:r>
          <w:rPr>
            <w:color w:val="176EA4"/>
          </w:rPr>
          <w:t>Crystallization kinetics</w:t>
        </w:r>
      </w:hyperlink>
      <w:r>
        <w:t xml:space="preserve"> </w:t>
      </w:r>
    </w:p>
    <w:p>
      <w:hyperlink r:id="rId118">
        <w:r>
          <w:rPr>
            <w:color w:val="176EA4"/>
          </w:rPr>
          <w:t>Next workflow page 03.2 Micromechanics →</w:t>
        </w:r>
      </w:hyperlink>
      <w:r>
        <w:t xml:space="preserve"> </w:t>
      </w:r>
    </w:p>
    <w:p>
      <w:bookmarkStart w:id="7" w:name="chapter_7"/>
      <w:pPr>
        <w:pStyle w:val="Heading1"/>
        <w:pageBreakBefore/>
      </w:pPr>
      <w:r>
        <w:t>7 Translate constituents into effective material behavior</w:t>
      </w:r>
      <w:bookmarkEnd w:id="7"/>
    </w:p>
    <w:p>
      <w:pPr>
        <w:pStyle w:val="Caption"/>
      </w:pPr>
      <w:hyperlink r:id="rId118">
        <w:r>
          <w:rPr>
            <w:color w:val="176EA4"/>
          </w:rPr>
          <w:t>Online chapter</w:t>
        </w:r>
      </w:hyperlink>
      <w:r>
        <w:t xml:space="preserve"> </w:t>
      </w:r>
    </w:p>
    <w:p>
      <w:pPr/>
      <w:r>
        <w:rPr>
          <w:b w:val="0"/>
          <w:i w:val="0"/>
        </w:rPr>
        <w:t>Choose a released architecture-compatible homogenization model, inspect its reference ply properties, and carry those properties into the laminate.</w:t>
      </w:r>
    </w:p>
    <w:p>
      <w:pPr>
        <w:pStyle w:val="Heading2"/>
      </w:pPr>
      <w:r>
        <w:t>One cell A whole fabric</w:t>
      </w:r>
    </w:p>
    <w:p>
      <w:pPr/>
      <w:r>
        <w:rPr>
          <w:b w:val="0"/>
          <w:i w:val="0"/>
        </w:rPr>
        <w:t>Explore plain, twill and satin yarn surfaces in Micro, Live Stack, CREATE and DISCOVER. Switch between one repeat and 2 × 2 or 3 × 3 cells, then rotate and zoom. CREATE carries the selected weave and woven bridging model into SIMULATE, subject to your license.</w:t>
      </w:r>
    </w:p>
    <w:p>
      <w:pPr>
        <w:keepNext w:val="0"/>
        <w:jc w:val="center"/>
      </w:pPr>
      <w:r>
        <w:drawing>
          <wp:inline xmlns:a="http://schemas.openxmlformats.org/drawingml/2006/main" xmlns:pic="http://schemas.openxmlformats.org/drawingml/2006/picture">
            <wp:extent cx="6217920" cy="5080361"/>
            <wp:docPr id="8" name="Picture 8" descr="DISCOVER: repeat a twill unit cell into a fabric patch."/>
            <wp:cNvGraphicFramePr>
              <a:graphicFrameLocks noChangeAspect="1"/>
            </wp:cNvGraphicFramePr>
            <a:graphic>
              <a:graphicData uri="http://schemas.openxmlformats.org/drawingml/2006/picture">
                <pic:pic>
                  <pic:nvPicPr>
                    <pic:cNvPr id="0" name="da2ada5a38ad6728fda07cafb4e96ad8e43a64c7988fa8dd7330d7cd176966bb.png"/>
                    <pic:cNvPicPr/>
                  </pic:nvPicPr>
                  <pic:blipFill>
                    <a:blip r:embed="rId119"/>
                    <a:stretch>
                      <a:fillRect/>
                    </a:stretch>
                  </pic:blipFill>
                  <pic:spPr>
                    <a:xfrm>
                      <a:off x="0" y="0"/>
                      <a:ext cx="6217920" cy="5080361"/>
                    </a:xfrm>
                    <a:prstGeom prst="rect"/>
                  </pic:spPr>
                </pic:pic>
              </a:graphicData>
            </a:graphic>
          </wp:inline>
        </w:drawing>
      </w:r>
    </w:p>
    <w:p>
      <w:pPr>
        <w:pStyle w:val="Caption"/>
      </w:pPr>
      <w:r>
        <w:rPr>
          <w:b w:val="0"/>
          <w:i w:val="0"/>
        </w:rPr>
        <w:t>DISCOVER: repeat a twill unit cell into a fabric patch.</w:t>
      </w:r>
    </w:p>
    <w:p>
      <w:pPr>
        <w:keepNext/>
        <w:jc w:val="center"/>
      </w:pPr>
      <w:r>
        <w:drawing>
          <wp:inline xmlns:a="http://schemas.openxmlformats.org/drawingml/2006/main" xmlns:pic="http://schemas.openxmlformats.org/drawingml/2006/picture">
            <wp:extent cx="6217920" cy="5080361"/>
            <wp:docPr id="9" name="Picture 9" descr="CREATE: carry the weave into a connected laminate recipe."/>
            <wp:cNvGraphicFramePr>
              <a:graphicFrameLocks noChangeAspect="1"/>
            </wp:cNvGraphicFramePr>
            <a:graphic>
              <a:graphicData uri="http://schemas.openxmlformats.org/drawingml/2006/picture">
                <pic:pic>
                  <pic:nvPicPr>
                    <pic:cNvPr id="0" name="80a8d15d3950afa2d432447cacd54e9ad48c2cd10c9e45b2b74e620d18c4512d.png"/>
                    <pic:cNvPicPr/>
                  </pic:nvPicPr>
                  <pic:blipFill>
                    <a:blip r:embed="rId120"/>
                    <a:stretch>
                      <a:fillRect/>
                    </a:stretch>
                  </pic:blipFill>
                  <pic:spPr>
                    <a:xfrm>
                      <a:off x="0" y="0"/>
                      <a:ext cx="6217920" cy="5080361"/>
                    </a:xfrm>
                    <a:prstGeom prst="rect"/>
                  </pic:spPr>
                </pic:pic>
              </a:graphicData>
            </a:graphic>
          </wp:inline>
        </w:drawing>
      </w:r>
    </w:p>
    <w:p>
      <w:pPr>
        <w:pStyle w:val="Caption"/>
      </w:pPr>
      <w:r>
        <w:rPr>
          <w:b w:val="0"/>
          <w:i w:val="0"/>
        </w:rPr>
        <w:t>CREATE: carry the weave into a connected laminate recipe.</w:t>
      </w:r>
    </w:p>
    <w:p>
      <w:pPr/>
      <w:r>
        <w:rPr>
          <w:b w:val="0"/>
          <w:i w:val="0"/>
        </w:rPr>
        <w:t>Captured from the Workbench components in a local preview, September 17, 2026. Missing yarn dimensions are inferred and listed under Geometry inputs &amp; assumptions. These are periodic surface illustrations—not measured textile CAD, solid exports or a mesh-based solver. Effective properties are calculated separately by the selected micromechanics model.</w:t>
      </w:r>
    </w:p>
    <w:p>
      <w:r>
        <w:t>Explore fiber volume</w:t>
      </w:r>
    </w:p>
    <w:p>
      <w:pPr/>
      <w:r>
        <w:rPr>
          <w:b w:val="0"/>
          <w:i w:val="0"/>
        </w:rPr>
        <w:t>Fiber volume</w:t>
      </w:r>
      <w:r>
        <w:t xml:space="preserve">: </w:t>
      </w:r>
      <w:r>
        <w:rPr>
          <w:b w:val="0"/>
          <w:i w:val="0"/>
        </w:rPr>
        <w:t>60</w:t>
      </w:r>
      <w:r>
        <w:rPr>
          <w:b w:val="0"/>
          <w:i w:val="0"/>
        </w:rPr>
        <w:t xml:space="preserve"> </w:t>
      </w:r>
      <w:r>
        <w:rPr>
          <w:b w:val="0"/>
          <w:i w:val="0"/>
        </w:rPr>
        <w:t xml:space="preserve"> </w:t>
      </w:r>
      <w:r>
        <w:rPr>
          <w:b w:val="0"/>
          <w:i w:val="0"/>
        </w:rPr>
        <w:t xml:space="preserve"> </w:t>
      </w:r>
      <w:r>
        <w:rPr>
          <w:b w:val="0"/>
          <w:i w:val="0"/>
        </w:rPr>
        <w:t>%</w:t>
      </w:r>
    </w:p>
    <w:p>
      <w:pPr/>
      <w:r>
        <w:rPr>
          <w:b w:val="0"/>
          <w:i w:val="0"/>
        </w:rPr>
        <w:t>Void volume</w:t>
      </w:r>
      <w:r>
        <w:t xml:space="preserve">: </w:t>
      </w:r>
      <w:r>
        <w:rPr>
          <w:b w:val="0"/>
          <w:i w:val="0"/>
        </w:rPr>
        <w:t>2</w:t>
      </w:r>
      <w:r>
        <w:rPr>
          <w:b w:val="0"/>
          <w:i w:val="0"/>
        </w:rPr>
        <w:t xml:space="preserve"> </w:t>
      </w:r>
      <w:r>
        <w:rPr>
          <w:b w:val="0"/>
          <w:i w:val="0"/>
        </w:rPr>
        <w:t xml:space="preserve"> </w:t>
      </w:r>
      <w:r>
        <w:rPr>
          <w:b w:val="0"/>
          <w:i w:val="0"/>
        </w:rPr>
        <w:t xml:space="preserve"> </w:t>
      </w:r>
      <w:r>
        <w:rPr>
          <w:b w:val="0"/>
          <w:i w:val="0"/>
        </w:rPr>
        <w:t>%</w:t>
      </w:r>
    </w:p>
    <w:p>
      <w:pPr/>
      <w:r>
        <w:rPr>
          <w:b w:val="0"/>
          <w:i w:val="0"/>
        </w:rPr>
        <w:t>Fiber modulus</w:t>
      </w:r>
    </w:p>
    <w:p>
      <w:pPr/>
      <w:r>
        <w:rPr>
          <w:b w:val="0"/>
          <w:i w:val="0"/>
        </w:rPr>
        <w:t>230 GPa</w:t>
      </w:r>
    </w:p>
    <w:p>
      <w:pPr/>
      <w:r>
        <w:rPr>
          <w:b w:val="0"/>
          <w:i w:val="0"/>
        </w:rPr>
        <w:t>Matrix modulus</w:t>
      </w:r>
    </w:p>
    <w:p>
      <w:pPr/>
      <w:r>
        <w:rPr>
          <w:b w:val="0"/>
          <w:i w:val="0"/>
        </w:rPr>
        <w:t>3.5 GPa</w:t>
      </w:r>
    </w:p>
    <w:p>
      <w:pPr/>
      <w:r>
        <w:rPr>
          <w:b w:val="0"/>
          <w:i w:val="0"/>
        </w:rPr>
        <w:t>Matrix volume</w:t>
      </w:r>
    </w:p>
    <w:p>
      <w:pPr/>
      <w:r>
        <w:rPr>
          <w:b w:val="0"/>
          <w:i w:val="0"/>
        </w:rPr>
        <w:t>38</w:t>
      </w:r>
      <w:r>
        <w:rPr>
          <w:b w:val="0"/>
          <w:i w:val="0"/>
        </w:rPr>
        <w:t xml:space="preserve"> </w:t>
      </w:r>
      <w:r>
        <w:rPr>
          <w:b w:val="0"/>
          <w:i w:val="0"/>
        </w:rPr>
        <w:t>%</w:t>
      </w:r>
    </w:p>
    <w:p>
      <w:pPr/>
      <w:r>
        <w:rPr>
          <w:b w:val="0"/>
          <w:i w:val="0"/>
        </w:rPr>
        <w:t>Axial mixture estimate</w:t>
      </w:r>
    </w:p>
    <w:p>
      <w:pPr/>
      <w:r>
        <w:rPr>
          <w:b w:val="0"/>
          <w:i w:val="0"/>
        </w:rPr>
        <w:t>139.33</w:t>
      </w:r>
      <w:r>
        <w:rPr>
          <w:b w:val="0"/>
          <w:i w:val="0"/>
        </w:rPr>
        <w:t xml:space="preserve"> </w:t>
      </w:r>
      <w:r>
        <w:rPr>
          <w:b w:val="0"/>
          <w:i w:val="0"/>
        </w:rPr>
        <w:t xml:space="preserve"> GPa</w:t>
      </w:r>
    </w:p>
    <w:p>
      <w:pPr>
        <w:keepNext w:val="0"/>
        <w:jc w:val="center"/>
      </w:pPr>
      <w:r>
        <w:drawing>
          <wp:inline xmlns:a="http://schemas.openxmlformats.org/drawingml/2006/main" xmlns:pic="http://schemas.openxmlformats.org/drawingml/2006/picture">
            <wp:extent cx="6217920" cy="2908382"/>
            <wp:docPr id="10" name="Picture 10" descr="CDS workflow or model illustration"/>
            <wp:cNvGraphicFramePr>
              <a:graphicFrameLocks noChangeAspect="1"/>
            </wp:cNvGraphicFramePr>
            <a:graphic>
              <a:graphicData uri="http://schemas.openxmlformats.org/drawingml/2006/picture">
                <pic:pic>
                  <pic:nvPicPr>
                    <pic:cNvPr id="0" name="rsvg-a45716a22282829506c916a2115c0f1e3096735264e463b264c209b4bba73a9f.png"/>
                    <pic:cNvPicPr/>
                  </pic:nvPicPr>
                  <pic:blipFill>
                    <a:blip r:embed="rId121"/>
                    <a:stretch>
                      <a:fillRect/>
                    </a:stretch>
                  </pic:blipFill>
                  <pic:spPr>
                    <a:xfrm>
                      <a:off x="0" y="0"/>
                      <a:ext cx="6217920" cy="2908382"/>
                    </a:xfrm>
                    <a:prstGeom prst="rect"/>
                  </pic:spPr>
                </pic:pic>
              </a:graphicData>
            </a:graphic>
          </wp:inline>
        </w:drawing>
      </w:r>
    </w:p>
    <w:p>
      <w:pPr/>
      <w:r>
        <w:rPr>
          <w:b w:val="0"/>
          <w:i w:val="0"/>
        </w:rPr>
        <w:t>Zero-stiffness void phase; no empirical void knockdown or transverse prediction.</w:t>
      </w:r>
    </w:p>
    <w:p>
      <w:pPr/>
      <w:r>
        <w:rPr>
          <w:b w:val="0"/>
          <w:i w:val="0"/>
        </w:rPr>
        <w:t>03.2</w:t>
      </w:r>
      <w:r>
        <w:rPr>
          <w:b w:val="0"/>
          <w:i w:val="0"/>
        </w:rPr>
        <w:t xml:space="preserve"> </w:t>
      </w:r>
      <w:r>
        <w:rPr>
          <w:b w:val="0"/>
          <w:i w:val="0"/>
        </w:rPr>
        <w:t xml:space="preserve"> / Workflow focus</w:t>
      </w:r>
    </w:p>
    <w:p>
      <w:pPr/>
      <w:r>
        <w:rPr>
          <w:b w:val="0"/>
          <w:i w:val="0"/>
        </w:rPr>
        <w:t>Connected engineering record</w:t>
      </w:r>
    </w:p>
    <w:p>
      <w:pPr>
        <w:pStyle w:val="Heading2"/>
      </w:pPr>
      <w:r>
        <w:t>Compatible formulations</w:t>
      </w:r>
    </w:p>
    <w:p>
      <w:pPr/>
      <w:r>
        <w:rPr>
          <w:b w:val="0"/>
          <w:i w:val="0"/>
        </w:rPr>
        <w:t>The Models browser lists rule-of-mixtures variants, Halpin–Tsai, Chamis, Mori–Tanaka, Hashin–Rosen, self-consistent, woven bridging and Cox elastic short-fiber choices. Architecture determines which choices are available.</w:t>
      </w:r>
    </w:p>
    <w:p>
      <w:pPr>
        <w:pStyle w:val="Heading2"/>
      </w:pPr>
      <w:r>
        <w:t>Short-fiber scope</w:t>
      </w:r>
    </w:p>
    <w:p>
      <w:pPr/>
      <w:r>
        <w:rPr>
          <w:b w:val="0"/>
          <w:i w:val="0"/>
        </w:rPr>
        <w:t>Cox shear-lag elastic studies use prescribed geometry and orientation. The event-driven Henry–Pimenta RVE and its stochastic discontinuous-fiber failure route are not enabled in the hosted release.</w:t>
      </w:r>
    </w:p>
    <w:p>
      <w:pPr>
        <w:pStyle w:val="Heading2"/>
      </w:pPr>
      <w:r>
        <w:t>Ply-property handoff</w:t>
      </w:r>
    </w:p>
    <w:p>
      <w:pPr/>
      <w:r>
        <w:rPr>
          <w:b w:val="0"/>
          <w:i w:val="0"/>
        </w:rPr>
        <w:t>The selected Micro recipe supplies reference properties to its linked plies. Shared material or Micro edits can change multiple laminate calculations.</w:t>
      </w:r>
    </w:p>
    <w:p>
      <w:pPr>
        <w:pStyle w:val="Heading2"/>
      </w:pPr>
      <w:r>
        <w:t>Explore and compare</w:t>
      </w:r>
    </w:p>
    <w:p>
      <w:pPr/>
      <w:r>
        <w:rPr>
          <w:b w:val="0"/>
          <w:i w:val="0"/>
        </w:rPr>
        <w:t>Use an exercise or supported property sweep to compare model assumptions, constituent limits and sensitivity. Predicted strengths and teaching defaults are not qualified allowables.</w:t>
      </w:r>
    </w:p>
    <w:p>
      <w:pPr/>
      <w:r>
        <w:rPr>
          <w:b w:val="0"/>
          <w:i w:val="0"/>
        </w:rPr>
        <w:t xml:space="preserve">Workbench availability: </w:t>
      </w:r>
      <w:hyperlink r:id="rId101">
        <w:r>
          <w:rPr>
            <w:color w:val="176EA4"/>
          </w:rPr>
          <w:t>released models, inputs and compatible study paths</w:t>
        </w:r>
      </w:hyperlink>
      <w:r>
        <w:t xml:space="preserve"> </w:t>
      </w:r>
      <w:r>
        <w:rPr>
          <w:b w:val="0"/>
          <w:i w:val="0"/>
        </w:rPr>
        <w:t>. The wider theory library includes reference formulations not available in every Workbench solve.</w:t>
      </w:r>
    </w:p>
    <w:p>
      <w:pPr/>
      <w:hyperlink r:id="rId112">
        <w:r>
          <w:rPr>
            <w:color w:val="176EA4"/>
          </w:rPr>
          <w:t>Use this workflow in Workbench: interactive Blocks, record selections and connection controls →</w:t>
        </w:r>
      </w:hyperlink>
      <w:r>
        <w:t xml:space="preserve"> </w:t>
      </w:r>
    </w:p>
    <w:p>
      <w:pPr>
        <w:pStyle w:val="Heading2"/>
      </w:pPr>
      <w:r>
        <w:t>Micromechanics released model connections</w:t>
      </w:r>
    </w:p>
    <w:p>
      <w:pPr/>
      <w:r>
        <w:rPr>
          <w:b w:val="0"/>
          <w:i w:val="0"/>
        </w:rPr>
        <w:t xml:space="preserve">Expand a family for inputs, outputs, supported formulations, theory and an exercise. </w:t>
      </w:r>
      <w:hyperlink r:id="rId101">
        <w:r>
          <w:rPr>
            <w:color w:val="176EA4"/>
          </w:rPr>
          <w:t>All model families </w:t>
        </w:r>
      </w:hyperlink>
      <w:r>
        <w:t xml:space="preserve"> </w:t>
      </w:r>
    </w:p>
    <w:p>
      <w:pPr>
        <w:keepNext/>
      </w:pPr>
      <w:r>
        <w:rPr>
          <w:b/>
          <w:i w:val="0"/>
        </w:rPr>
        <w:t xml:space="preserve">∑ </w:t>
      </w:r>
      <w:r>
        <w:rPr>
          <w:b/>
          <w:i w:val="0"/>
        </w:rPr>
        <w:t xml:space="preserve"> </w:t>
      </w:r>
      <w:r>
        <w:rPr>
          <w:b/>
          <w:i w:val="0"/>
        </w:rPr>
        <w:t>Micromechanics</w:t>
      </w:r>
    </w:p>
    <w:p>
      <w:pPr/>
      <w:r>
        <w:rPr>
          <w:b w:val="0"/>
          <w:i w:val="0"/>
        </w:rPr>
        <w:t>Models browser → Micromechanics · source: Micro</w:t>
      </w:r>
    </w:p>
    <w:p>
      <w:r>
        <w:rPr>
          <w:b w:val="0"/>
          <w:i w:val="0"/>
        </w:rPr>
        <w:t>Inputs</w:t>
      </w:r>
      <w:r>
        <w:t xml:space="preserve"> </w:t>
      </w:r>
      <w:r>
        <w:rPr>
          <w:b w:val="0"/>
          <w:i w:val="0"/>
        </w:rPr>
        <w:t>Constituents, architecture, fractions and calibrated modifiers</w:t>
      </w:r>
      <w:r>
        <w:t xml:space="preserve"> </w:t>
      </w:r>
      <w:r>
        <w:rPr>
          <w:b w:val="0"/>
          <w:i w:val="0"/>
        </w:rPr>
        <w:t>Results / handoff</w:t>
      </w:r>
      <w:r>
        <w:t xml:space="preserve"> </w:t>
      </w:r>
      <w:r>
        <w:rPr>
          <w:b w:val="0"/>
          <w:i w:val="0"/>
        </w:rPr>
        <w:t>Reference ply properties for each linked laminate ply</w:t>
      </w:r>
    </w:p>
    <w:p>
      <w:pPr/>
      <w:r>
        <w:rPr>
          <w:b w:val="0"/>
          <w:i w:val="0"/>
        </w:rPr>
        <w:t>One compatible homogenization model per Micro recipe. Use separate recipes for comparisons; they are not combined in a single ply.</w:t>
      </w:r>
    </w:p>
    <w:p>
      <w:pPr>
        <w:keepNext/>
      </w:pPr>
      <w:r>
        <w:rPr>
          <w:b/>
          <w:i w:val="0"/>
        </w:rPr>
        <w:t>Formulations and study choices</w:t>
      </w:r>
    </w:p>
    <w:p>
      <w:pPr>
        <w:pStyle w:val="ListBullet"/>
      </w:pPr>
      <w:r>
        <w:rPr>
          <w:b w:val="0"/>
          <w:i w:val="0"/>
        </w:rPr>
        <w:t>Halpin–Tsai</w:t>
      </w:r>
    </w:p>
    <w:p>
      <w:pPr>
        <w:pStyle w:val="ListBullet"/>
      </w:pPr>
      <w:r>
        <w:rPr>
          <w:b w:val="0"/>
          <w:i w:val="0"/>
        </w:rPr>
        <w:t>Rule of mixtures</w:t>
      </w:r>
    </w:p>
    <w:p>
      <w:pPr>
        <w:pStyle w:val="ListBullet"/>
      </w:pPr>
      <w:r>
        <w:rPr>
          <w:b w:val="0"/>
          <w:i w:val="0"/>
        </w:rPr>
        <w:t>Modified rule of mixtures</w:t>
      </w:r>
    </w:p>
    <w:p>
      <w:pPr>
        <w:pStyle w:val="ListBullet"/>
      </w:pPr>
      <w:r>
        <w:rPr>
          <w:b w:val="0"/>
          <w:i w:val="0"/>
        </w:rPr>
        <w:t>Chamis</w:t>
      </w:r>
    </w:p>
    <w:p>
      <w:pPr>
        <w:pStyle w:val="ListBullet"/>
      </w:pPr>
      <w:r>
        <w:rPr>
          <w:b w:val="0"/>
          <w:i w:val="0"/>
        </w:rPr>
        <w:t>Mori–Tanaka</w:t>
      </w:r>
    </w:p>
    <w:p>
      <w:pPr>
        <w:pStyle w:val="ListBullet"/>
      </w:pPr>
      <w:r>
        <w:rPr>
          <w:b w:val="0"/>
          <w:i w:val="0"/>
        </w:rPr>
        <w:t>Hashin–Rosen</w:t>
      </w:r>
    </w:p>
    <w:p>
      <w:pPr>
        <w:pStyle w:val="ListBullet"/>
      </w:pPr>
      <w:r>
        <w:rPr>
          <w:b w:val="0"/>
          <w:i w:val="0"/>
        </w:rPr>
        <w:t>Self-consistent scheme</w:t>
      </w:r>
    </w:p>
    <w:p>
      <w:pPr>
        <w:pStyle w:val="ListBullet"/>
      </w:pPr>
      <w:r>
        <w:rPr>
          <w:b w:val="0"/>
          <w:i w:val="0"/>
        </w:rPr>
        <w:t>Woven fabric bridging</w:t>
      </w:r>
    </w:p>
    <w:p>
      <w:pPr>
        <w:pStyle w:val="ListBullet"/>
      </w:pPr>
      <w:r>
        <w:rPr>
          <w:b w:val="0"/>
          <w:i w:val="0"/>
        </w:rPr>
        <w:t>Cox shear-lag elastic</w:t>
      </w:r>
    </w:p>
    <w:p>
      <w:hyperlink r:id="rId14">
        <w:r>
          <w:rPr>
            <w:color w:val="176EA4"/>
          </w:rPr>
          <w:t>∑ Theory &amp; assumptions</w:t>
        </w:r>
      </w:hyperlink>
      <w:r>
        <w:t xml:space="preserve"> </w:t>
      </w:r>
    </w:p>
    <w:p>
      <w:hyperlink r:id="rId15">
        <w:r>
          <w:rPr>
            <w:color w:val="176EA4"/>
          </w:rPr>
          <w:t>Guided exercise &amp; two-layer workflow </w:t>
        </w:r>
      </w:hyperlink>
      <w:r>
        <w:t xml:space="preserve"> </w:t>
      </w:r>
    </w:p>
    <w:p>
      <w:pPr>
        <w:keepNext/>
      </w:pPr>
      <w:r>
        <w:rPr>
          <w:b/>
          <w:i w:val="0"/>
        </w:rPr>
        <w:t xml:space="preserve">∑ </w:t>
      </w:r>
      <w:r>
        <w:rPr>
          <w:b/>
          <w:i w:val="0"/>
        </w:rPr>
        <w:t xml:space="preserve"> </w:t>
      </w:r>
      <w:r>
        <w:rPr>
          <w:b/>
          <w:i w:val="0"/>
        </w:rPr>
        <w:t>Wiener series and parallel</w:t>
      </w:r>
    </w:p>
    <w:p>
      <w:pPr/>
      <w:r>
        <w:rPr>
          <w:b w:val="0"/>
          <w:i w:val="0"/>
        </w:rPr>
        <w:t>Models → Electromagnetics · RF → Wiener series and parallel</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Positive lossless dielectric bounds; complex directional estimates.</w:t>
      </w:r>
    </w:p>
    <w:p>
      <w:pPr>
        <w:keepNext/>
      </w:pPr>
      <w:r>
        <w:rPr>
          <w:b/>
          <w:i w:val="0"/>
        </w:rPr>
        <w:t>Formulations and study choices</w:t>
      </w:r>
    </w:p>
    <w:p>
      <w:pPr>
        <w:pStyle w:val="ListBullet"/>
      </w:pPr>
      <w:r>
        <w:rPr>
          <w:b w:val="0"/>
          <w:i w:val="0"/>
        </w:rPr>
        <w:t>EM · Wiener series and parallel</w:t>
      </w:r>
    </w:p>
    <w:p>
      <w:hyperlink r:id="rId69">
        <w:r>
          <w:rPr>
            <w:color w:val="176EA4"/>
          </w:rPr>
          <w:t>∑ Theory &amp; assumptions</w:t>
        </w:r>
      </w:hyperlink>
      <w:r>
        <w:t xml:space="preserve"> </w:t>
      </w:r>
    </w:p>
    <w:p>
      <w:hyperlink r:id="rId70">
        <w:r>
          <w:rPr>
            <w:color w:val="176EA4"/>
          </w:rPr>
          <w:t>Guided exercise &amp; two-layer workflow </w:t>
        </w:r>
      </w:hyperlink>
      <w:r>
        <w:t xml:space="preserve"> </w:t>
      </w:r>
    </w:p>
    <w:p>
      <w:pPr>
        <w:keepNext/>
      </w:pPr>
      <w:r>
        <w:rPr>
          <w:b/>
          <w:i w:val="0"/>
        </w:rPr>
        <w:t xml:space="preserve">∑ </w:t>
      </w:r>
      <w:r>
        <w:rPr>
          <w:b/>
          <w:i w:val="0"/>
        </w:rPr>
        <w:t xml:space="preserve"> </w:t>
      </w:r>
      <w:r>
        <w:rPr>
          <w:b/>
          <w:i w:val="0"/>
        </w:rPr>
        <w:t>Looyenga / Landau–Lifshitz–Looyenga</w:t>
      </w:r>
    </w:p>
    <w:p>
      <w:pPr/>
      <w:r>
        <w:rPr>
          <w:b w:val="0"/>
          <w:i w:val="0"/>
        </w:rPr>
        <w:t>Models → Electromagnetics · RF → Looyenga / Landau–Lifshitz–Looyenga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One cube-root mixing law, not two independent models.</w:t>
      </w:r>
    </w:p>
    <w:p>
      <w:pPr>
        <w:keepNext/>
      </w:pPr>
      <w:r>
        <w:rPr>
          <w:b/>
          <w:i w:val="0"/>
        </w:rPr>
        <w:t>Formulations and study choices</w:t>
      </w:r>
    </w:p>
    <w:p>
      <w:pPr>
        <w:pStyle w:val="ListBullet"/>
      </w:pPr>
      <w:r>
        <w:rPr>
          <w:b w:val="0"/>
          <w:i w:val="0"/>
        </w:rPr>
        <w:t>EM · Looyenga / Landau–Lifshitz–Looyenga</w:t>
      </w:r>
    </w:p>
    <w:p>
      <w:hyperlink r:id="rId71">
        <w:r>
          <w:rPr>
            <w:color w:val="176EA4"/>
          </w:rPr>
          <w:t>∑ Theory &amp; assumptions</w:t>
        </w:r>
      </w:hyperlink>
      <w:r>
        <w:t xml:space="preserve"> </w:t>
      </w:r>
    </w:p>
    <w:p>
      <w:hyperlink r:id="rId72">
        <w:r>
          <w:rPr>
            <w:color w:val="176EA4"/>
          </w:rPr>
          <w:t>Guided exercise &amp; two-layer workflow </w:t>
        </w:r>
      </w:hyperlink>
      <w:r>
        <w:t xml:space="preserve"> </w:t>
      </w:r>
    </w:p>
    <w:p>
      <w:pPr>
        <w:keepNext/>
      </w:pPr>
      <w:r>
        <w:rPr>
          <w:b/>
          <w:i w:val="0"/>
        </w:rPr>
        <w:t xml:space="preserve">∑ </w:t>
      </w:r>
      <w:r>
        <w:rPr>
          <w:b/>
          <w:i w:val="0"/>
        </w:rPr>
        <w:t xml:space="preserve"> </w:t>
      </w:r>
      <w:r>
        <w:rPr>
          <w:b/>
          <w:i w:val="0"/>
        </w:rPr>
        <w:t>Maxwell–Garnett</w:t>
      </w:r>
    </w:p>
    <w:p>
      <w:pPr/>
      <w:r>
        <w:rPr>
          <w:b w:val="0"/>
          <w:i w:val="0"/>
        </w:rPr>
        <w:t>Models → Electromagnetics · RF → Maxwell–Garnett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Dilute subwavelength spherical inclusions in a host.</w:t>
      </w:r>
    </w:p>
    <w:p>
      <w:pPr>
        <w:keepNext/>
      </w:pPr>
      <w:r>
        <w:rPr>
          <w:b/>
          <w:i w:val="0"/>
        </w:rPr>
        <w:t>Formulations and study choices</w:t>
      </w:r>
    </w:p>
    <w:p>
      <w:pPr>
        <w:pStyle w:val="ListBullet"/>
      </w:pPr>
      <w:r>
        <w:rPr>
          <w:b w:val="0"/>
          <w:i w:val="0"/>
        </w:rPr>
        <w:t>EM · Maxwell–Garnett</w:t>
      </w:r>
    </w:p>
    <w:p>
      <w:hyperlink r:id="rId73">
        <w:r>
          <w:rPr>
            <w:color w:val="176EA4"/>
          </w:rPr>
          <w:t>∑ Theory &amp; assumptions</w:t>
        </w:r>
      </w:hyperlink>
      <w:r>
        <w:t xml:space="preserve"> </w:t>
      </w:r>
    </w:p>
    <w:p>
      <w:hyperlink r:id="rId74">
        <w:r>
          <w:rPr>
            <w:color w:val="176EA4"/>
          </w:rPr>
          <w:t>Guided exercise &amp; two-layer workflow </w:t>
        </w:r>
      </w:hyperlink>
      <w:r>
        <w:t xml:space="preserve"> </w:t>
      </w:r>
    </w:p>
    <w:p>
      <w:pPr>
        <w:keepNext/>
      </w:pPr>
      <w:r>
        <w:rPr>
          <w:b/>
          <w:i w:val="0"/>
        </w:rPr>
        <w:t xml:space="preserve">∑ </w:t>
      </w:r>
      <w:r>
        <w:rPr>
          <w:b/>
          <w:i w:val="0"/>
        </w:rPr>
        <w:t xml:space="preserve"> </w:t>
      </w:r>
      <w:r>
        <w:rPr>
          <w:b/>
          <w:i w:val="0"/>
        </w:rPr>
        <w:t>Bruggeman symmetric EMT</w:t>
      </w:r>
    </w:p>
    <w:p>
      <w:pPr/>
      <w:r>
        <w:rPr>
          <w:b w:val="0"/>
          <w:i w:val="0"/>
        </w:rPr>
        <w:t>Models → Electromagnetics · RF → Bruggeman symmetric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Two positive-permittivity phases; no explicit contact network.</w:t>
      </w:r>
    </w:p>
    <w:p>
      <w:pPr>
        <w:keepNext/>
      </w:pPr>
      <w:r>
        <w:rPr>
          <w:b/>
          <w:i w:val="0"/>
        </w:rPr>
        <w:t>Formulations and study choices</w:t>
      </w:r>
    </w:p>
    <w:p>
      <w:pPr>
        <w:pStyle w:val="ListBullet"/>
      </w:pPr>
      <w:r>
        <w:rPr>
          <w:b w:val="0"/>
          <w:i w:val="0"/>
        </w:rPr>
        <w:t>EM · Bruggeman symmetric EMT</w:t>
      </w:r>
    </w:p>
    <w:p>
      <w:hyperlink r:id="rId77">
        <w:r>
          <w:rPr>
            <w:color w:val="176EA4"/>
          </w:rPr>
          <w:t>∑ Theory &amp; assumptions</w:t>
        </w:r>
      </w:hyperlink>
      <w:r>
        <w:t xml:space="preserve"> </w:t>
      </w:r>
    </w:p>
    <w:p>
      <w:hyperlink r:id="rId78">
        <w:r>
          <w:rPr>
            <w:color w:val="176EA4"/>
          </w:rPr>
          <w:t>Guided exercise &amp; two-layer workflow </w:t>
        </w:r>
      </w:hyperlink>
      <w:r>
        <w:t xml:space="preserve"> </w:t>
      </w:r>
    </w:p>
    <w:p>
      <w:pPr>
        <w:keepNext/>
      </w:pPr>
      <w:r>
        <w:rPr>
          <w:b/>
          <w:i w:val="0"/>
        </w:rPr>
        <w:t xml:space="preserve">∑ </w:t>
      </w:r>
      <w:r>
        <w:rPr>
          <w:b/>
          <w:i w:val="0"/>
        </w:rPr>
        <w:t xml:space="preserve"> </w:t>
      </w:r>
      <w:r>
        <w:rPr>
          <w:b/>
          <w:i w:val="0"/>
        </w:rPr>
        <w:t>EM Mori–Tanaka</w:t>
      </w:r>
    </w:p>
    <w:p>
      <w:pPr/>
      <w:r>
        <w:rPr>
          <w:b w:val="0"/>
          <w:i w:val="0"/>
        </w:rPr>
        <w:t>Models → Electromagnetics · RF → EM Mori–Tanaka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Scalar principal-axis ellipsoidal field approximation.</w:t>
      </w:r>
    </w:p>
    <w:p>
      <w:pPr>
        <w:keepNext/>
      </w:pPr>
      <w:r>
        <w:rPr>
          <w:b/>
          <w:i w:val="0"/>
        </w:rPr>
        <w:t>Formulations and study choices</w:t>
      </w:r>
    </w:p>
    <w:p>
      <w:pPr>
        <w:pStyle w:val="ListBullet"/>
      </w:pPr>
      <w:r>
        <w:rPr>
          <w:b w:val="0"/>
          <w:i w:val="0"/>
        </w:rPr>
        <w:t>EM · EM Mori–Tanaka</w:t>
      </w:r>
    </w:p>
    <w:p>
      <w:hyperlink r:id="rId79">
        <w:r>
          <w:rPr>
            <w:color w:val="176EA4"/>
          </w:rPr>
          <w:t>∑ Theory &amp; assumptions</w:t>
        </w:r>
      </w:hyperlink>
      <w:r>
        <w:t xml:space="preserve"> </w:t>
      </w:r>
    </w:p>
    <w:p>
      <w:hyperlink r:id="rId80">
        <w:r>
          <w:rPr>
            <w:color w:val="176EA4"/>
          </w:rPr>
          <w:t>Guided exercise &amp; two-layer workflow </w:t>
        </w:r>
      </w:hyperlink>
      <w:r>
        <w:t xml:space="preserve"> </w:t>
      </w:r>
    </w:p>
    <w:p>
      <w:pPr>
        <w:keepNext/>
      </w:pPr>
      <w:r>
        <w:rPr>
          <w:b/>
          <w:i w:val="0"/>
        </w:rPr>
        <w:t xml:space="preserve">∑ </w:t>
      </w:r>
      <w:r>
        <w:rPr>
          <w:b/>
          <w:i w:val="0"/>
        </w:rPr>
        <w:t xml:space="preserve"> </w:t>
      </w:r>
      <w:r>
        <w:rPr>
          <w:b/>
          <w:i w:val="0"/>
        </w:rPr>
        <w:t>EM self-consistent</w:t>
      </w:r>
    </w:p>
    <w:p>
      <w:pPr/>
      <w:r>
        <w:rPr>
          <w:b w:val="0"/>
          <w:i w:val="0"/>
        </w:rPr>
        <w:t>Models → Electromagnetics · RF → EM self-consistent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Scalar principal-axis self-consistency; spherical case equals Bruggeman.</w:t>
      </w:r>
    </w:p>
    <w:p>
      <w:pPr>
        <w:keepNext/>
      </w:pPr>
      <w:r>
        <w:rPr>
          <w:b/>
          <w:i w:val="0"/>
        </w:rPr>
        <w:t>Formulations and study choices</w:t>
      </w:r>
    </w:p>
    <w:p>
      <w:pPr>
        <w:pStyle w:val="ListBullet"/>
      </w:pPr>
      <w:r>
        <w:rPr>
          <w:b w:val="0"/>
          <w:i w:val="0"/>
        </w:rPr>
        <w:t>EM · EM self-consistent</w:t>
      </w:r>
    </w:p>
    <w:p>
      <w:hyperlink r:id="rId81">
        <w:r>
          <w:rPr>
            <w:color w:val="176EA4"/>
          </w:rPr>
          <w:t>∑ Theory &amp; assumptions</w:t>
        </w:r>
      </w:hyperlink>
      <w:r>
        <w:t xml:space="preserve"> </w:t>
      </w:r>
    </w:p>
    <w:p>
      <w:hyperlink r:id="rId82">
        <w:r>
          <w:rPr>
            <w:color w:val="176EA4"/>
          </w:rPr>
          <w:t>Guided exercise &amp; two-layer workflow </w:t>
        </w:r>
      </w:hyperlink>
      <w:r>
        <w:t xml:space="preserve"> </w:t>
      </w:r>
    </w:p>
    <w:p>
      <w:pPr>
        <w:keepNext/>
      </w:pPr>
      <w:r>
        <w:rPr>
          <w:b/>
          <w:i w:val="0"/>
        </w:rPr>
        <w:t xml:space="preserve">∑ </w:t>
      </w:r>
      <w:r>
        <w:rPr>
          <w:b/>
          <w:i w:val="0"/>
        </w:rPr>
        <w:t xml:space="preserve"> </w:t>
      </w:r>
      <w:r>
        <w:rPr>
          <w:b/>
          <w:i w:val="0"/>
        </w:rPr>
        <w:t>Differential effective medium</w:t>
      </w:r>
    </w:p>
    <w:p>
      <w:pPr/>
      <w:r>
        <w:rPr>
          <w:b w:val="0"/>
          <w:i w:val="0"/>
        </w:rPr>
        <w:t>Models → Electromagnetics · RF → Differential effective medium</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Incremental mixing with time-step refinement check.</w:t>
      </w:r>
    </w:p>
    <w:p>
      <w:pPr>
        <w:keepNext/>
      </w:pPr>
      <w:r>
        <w:rPr>
          <w:b/>
          <w:i w:val="0"/>
        </w:rPr>
        <w:t>Formulations and study choices</w:t>
      </w:r>
    </w:p>
    <w:p>
      <w:pPr>
        <w:pStyle w:val="ListBullet"/>
      </w:pPr>
      <w:r>
        <w:rPr>
          <w:b w:val="0"/>
          <w:i w:val="0"/>
        </w:rPr>
        <w:t>EM · Differential effective medium</w:t>
      </w:r>
    </w:p>
    <w:p>
      <w:hyperlink r:id="rId83">
        <w:r>
          <w:rPr>
            <w:color w:val="176EA4"/>
          </w:rPr>
          <w:t>∑ Theory &amp; assumptions</w:t>
        </w:r>
      </w:hyperlink>
      <w:r>
        <w:t xml:space="preserve"> </w:t>
      </w:r>
    </w:p>
    <w:p>
      <w:hyperlink r:id="rId84">
        <w:r>
          <w:rPr>
            <w:color w:val="176EA4"/>
          </w:rPr>
          <w:t>Guided exercise &amp; two-layer workflow </w:t>
        </w:r>
      </w:hyperlink>
      <w:r>
        <w:t xml:space="preserve"> </w:t>
      </w:r>
    </w:p>
    <w:p>
      <w:pPr>
        <w:keepNext/>
      </w:pPr>
      <w:r>
        <w:rPr>
          <w:b/>
          <w:i w:val="0"/>
        </w:rPr>
        <w:t xml:space="preserve">∑ </w:t>
      </w:r>
      <w:r>
        <w:rPr>
          <w:b/>
          <w:i w:val="0"/>
        </w:rPr>
        <w:t xml:space="preserve"> </w:t>
      </w:r>
      <w:r>
        <w:rPr>
          <w:b/>
          <w:i w:val="0"/>
        </w:rPr>
        <w:t>Coated sphere and interphase</w:t>
      </w:r>
    </w:p>
    <w:p>
      <w:pPr/>
      <w:r>
        <w:rPr>
          <w:b w:val="0"/>
          <w:i w:val="0"/>
        </w:rPr>
        <w:t>Models → Electromagnetics · RF → Coated sphere and interphase</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Concentric subwavelength coated spheres; no dynamic Mie scattering.</w:t>
      </w:r>
    </w:p>
    <w:p>
      <w:pPr>
        <w:keepNext/>
      </w:pPr>
      <w:r>
        <w:rPr>
          <w:b/>
          <w:i w:val="0"/>
        </w:rPr>
        <w:t>Formulations and study choices</w:t>
      </w:r>
    </w:p>
    <w:p>
      <w:pPr>
        <w:pStyle w:val="ListBullet"/>
      </w:pPr>
      <w:r>
        <w:rPr>
          <w:b w:val="0"/>
          <w:i w:val="0"/>
        </w:rPr>
        <w:t>EM · Coated sphere and interphase</w:t>
      </w:r>
    </w:p>
    <w:p>
      <w:hyperlink r:id="rId85">
        <w:r>
          <w:rPr>
            <w:color w:val="176EA4"/>
          </w:rPr>
          <w:t>∑ Theory &amp; assumptions</w:t>
        </w:r>
      </w:hyperlink>
      <w:r>
        <w:t xml:space="preserve"> </w:t>
      </w:r>
    </w:p>
    <w:p>
      <w:hyperlink r:id="rId86">
        <w:r>
          <w:rPr>
            <w:color w:val="176EA4"/>
          </w:rPr>
          <w:t>Guided exercise &amp; two-layer workflow </w:t>
        </w:r>
      </w:hyperlink>
      <w:r>
        <w:t xml:space="preserve"> </w:t>
      </w:r>
    </w:p>
    <w:p>
      <w:pPr>
        <w:keepNext/>
      </w:pPr>
      <w:r>
        <w:rPr>
          <w:b/>
          <w:i w:val="0"/>
        </w:rPr>
        <w:t xml:space="preserve">∑ </w:t>
      </w:r>
      <w:r>
        <w:rPr>
          <w:b/>
          <w:i w:val="0"/>
        </w:rPr>
        <w:t xml:space="preserve"> </w:t>
      </w:r>
      <w:r>
        <w:rPr>
          <w:b/>
          <w:i w:val="0"/>
        </w:rPr>
        <w:t>Generalized multiphase EMT</w:t>
      </w:r>
    </w:p>
    <w:p>
      <w:pPr/>
      <w:r>
        <w:rPr>
          <w:b w:val="0"/>
          <w:i w:val="0"/>
        </w:rPr>
        <w:t>Models → Electromagnetics · RF → Generalized multiphase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Spherical multiphase Bruggeman with convergence checks.</w:t>
      </w:r>
    </w:p>
    <w:p>
      <w:pPr>
        <w:keepNext/>
      </w:pPr>
      <w:r>
        <w:rPr>
          <w:b/>
          <w:i w:val="0"/>
        </w:rPr>
        <w:t>Formulations and study choices</w:t>
      </w:r>
    </w:p>
    <w:p>
      <w:pPr>
        <w:pStyle w:val="ListBullet"/>
      </w:pPr>
      <w:r>
        <w:rPr>
          <w:b w:val="0"/>
          <w:i w:val="0"/>
        </w:rPr>
        <w:t>EM · Generalized multiphase EMT</w:t>
      </w:r>
    </w:p>
    <w:p>
      <w:hyperlink r:id="rId87">
        <w:r>
          <w:rPr>
            <w:color w:val="176EA4"/>
          </w:rPr>
          <w:t>∑ Theory &amp; assumptions</w:t>
        </w:r>
      </w:hyperlink>
      <w:r>
        <w:t xml:space="preserve"> </w:t>
      </w:r>
    </w:p>
    <w:p>
      <w:hyperlink r:id="rId88">
        <w:r>
          <w:rPr>
            <w:color w:val="176EA4"/>
          </w:rPr>
          <w:t>Guided exercise &amp; two-layer workflow </w:t>
        </w:r>
      </w:hyperlink>
      <w:r>
        <w:t xml:space="preserve"> </w:t>
      </w:r>
    </w:p>
    <w:p>
      <w:hyperlink r:id="rId115">
        <w:r>
          <w:rPr>
            <w:color w:val="176EA4"/>
          </w:rPr>
          <w:t>Next workflow page 03.3 Laminates →</w:t>
        </w:r>
      </w:hyperlink>
      <w:r>
        <w:t xml:space="preserve"> </w:t>
      </w:r>
    </w:p>
    <w:p>
      <w:bookmarkStart w:id="8" w:name="chapter_8"/>
      <w:pPr>
        <w:pStyle w:val="Heading1"/>
        <w:pageBreakBefore/>
      </w:pPr>
      <w:r>
        <w:t>8 Models you can use Connections you can follow</w:t>
      </w:r>
      <w:bookmarkEnd w:id="8"/>
    </w:p>
    <w:p>
      <w:pPr>
        <w:pStyle w:val="Caption"/>
      </w:pPr>
      <w:hyperlink r:id="rId101">
        <w:r>
          <w:rPr>
            <w:color w:val="176EA4"/>
          </w:rPr>
          <w:t>Online chapter</w:t>
        </w:r>
      </w:hyperlink>
      <w:r>
        <w:t xml:space="preserve"> </w:t>
      </w:r>
    </w:p>
    <w:p>
      <w:pPr/>
      <w:r>
        <w:rPr>
          <w:b w:val="0"/>
          <w:i w:val="0"/>
        </w:rPr>
        <w:t>The released Workbench model set, grouped by engineering purpose. Open a family for its tree location, inputs, outputs, theory and guided exercise. Availability also depends on your license.</w:t>
      </w:r>
    </w:p>
    <w:p>
      <w:pPr>
        <w:pStyle w:val="Heading2"/>
      </w:pPr>
      <w:r>
        <w:t>42 model families in the released Workbench</w:t>
      </w:r>
    </w:p>
    <w:p>
      <w:pPr/>
      <w:r>
        <w:rPr>
          <w:b w:val="0"/>
          <w:i w:val="0"/>
        </w:rPr>
        <w:t>Choose a formulation in Models, edit its linked source record, connect required inputs in Simulation, then watch a quick workflow update or press Run. Tree nesting shows related methods—not permission to combine every method in one solve. A completed calculation is not a validated design pass.</w:t>
      </w:r>
    </w:p>
    <w:p>
      <w:pPr>
        <w:keepNext/>
      </w:pPr>
      <w:r>
        <w:rPr>
          <w:b/>
          <w:i w:val="0"/>
        </w:rPr>
        <w:t>Live updates or Run?</w:t>
      </w:r>
    </w:p>
    <w:p>
      <w:pPr/>
      <w:r>
        <w:rPr>
          <w:b w:val="0"/>
          <w:i w:val="0"/>
        </w:rPr>
        <w:t>Small compatible workflows refresh after editing pauses, using the current connected materials, Micro, laminate and case inputs. Larger sampling, mode searches, mesh calculations and process histories require Run after upstream changes. Workbench also switches a workload to Run when measured solver time exceeds its live budget; it never reduces numerical accuracy to stay live.</w:t>
      </w:r>
    </w:p>
    <w:p>
      <w:pPr/>
      <w:r>
        <w:rPr>
          <w:b w:val="0"/>
          <w:i w:val="0"/>
        </w:rPr>
        <w:t>The Solver control shows Live updates or Run required and can pause automatic updates. Hidden tabs do not start background refreshes. Superseded results are discarded, and all automatic runs retain the same model and license checks. Fast reference-state studies remain separate studies: live scheduling does not create new physical coupling.</w:t>
      </w:r>
    </w:p>
    <w:p>
      <w:pPr>
        <w:keepNext/>
      </w:pPr>
      <w:r>
        <w:rPr>
          <w:b/>
          <w:i w:val="0"/>
        </w:rPr>
        <w:t xml:space="preserve">∑ </w:t>
      </w:r>
      <w:r>
        <w:rPr>
          <w:b/>
          <w:i w:val="0"/>
        </w:rPr>
        <w:t xml:space="preserve"> </w:t>
      </w:r>
      <w:r>
        <w:rPr>
          <w:b/>
          <w:i w:val="0"/>
        </w:rPr>
        <w:t>Micromechanics</w:t>
      </w:r>
    </w:p>
    <w:p>
      <w:pPr/>
      <w:r>
        <w:rPr>
          <w:b w:val="0"/>
          <w:i w:val="0"/>
        </w:rPr>
        <w:t>Models browser → Micromechanics · source: Micro</w:t>
      </w:r>
    </w:p>
    <w:p>
      <w:r>
        <w:rPr>
          <w:b w:val="0"/>
          <w:i w:val="0"/>
        </w:rPr>
        <w:t>Inputs</w:t>
      </w:r>
      <w:r>
        <w:t xml:space="preserve"> </w:t>
      </w:r>
      <w:r>
        <w:rPr>
          <w:b w:val="0"/>
          <w:i w:val="0"/>
        </w:rPr>
        <w:t>Constituents, architecture, fractions and calibrated modifiers</w:t>
      </w:r>
      <w:r>
        <w:t xml:space="preserve"> </w:t>
      </w:r>
      <w:r>
        <w:rPr>
          <w:b w:val="0"/>
          <w:i w:val="0"/>
        </w:rPr>
        <w:t>Results / handoff</w:t>
      </w:r>
      <w:r>
        <w:t xml:space="preserve"> </w:t>
      </w:r>
      <w:r>
        <w:rPr>
          <w:b w:val="0"/>
          <w:i w:val="0"/>
        </w:rPr>
        <w:t>Reference ply properties for each linked laminate ply</w:t>
      </w:r>
    </w:p>
    <w:p>
      <w:pPr/>
      <w:r>
        <w:rPr>
          <w:b w:val="0"/>
          <w:i w:val="0"/>
        </w:rPr>
        <w:t>One compatible homogenization model per Micro recipe. Use separate recipes for comparisons; they are not combined in a single ply.</w:t>
      </w:r>
    </w:p>
    <w:p>
      <w:pPr>
        <w:keepNext/>
      </w:pPr>
      <w:r>
        <w:rPr>
          <w:b/>
          <w:i w:val="0"/>
        </w:rPr>
        <w:t>Formulations and study choices</w:t>
      </w:r>
    </w:p>
    <w:p>
      <w:pPr>
        <w:pStyle w:val="ListBullet"/>
      </w:pPr>
      <w:r>
        <w:rPr>
          <w:b w:val="0"/>
          <w:i w:val="0"/>
        </w:rPr>
        <w:t>Halpin–Tsai</w:t>
      </w:r>
    </w:p>
    <w:p>
      <w:pPr>
        <w:pStyle w:val="ListBullet"/>
      </w:pPr>
      <w:r>
        <w:rPr>
          <w:b w:val="0"/>
          <w:i w:val="0"/>
        </w:rPr>
        <w:t>Rule of mixtures</w:t>
      </w:r>
    </w:p>
    <w:p>
      <w:pPr>
        <w:pStyle w:val="ListBullet"/>
      </w:pPr>
      <w:r>
        <w:rPr>
          <w:b w:val="0"/>
          <w:i w:val="0"/>
        </w:rPr>
        <w:t>Modified rule of mixtures</w:t>
      </w:r>
    </w:p>
    <w:p>
      <w:pPr>
        <w:pStyle w:val="ListBullet"/>
      </w:pPr>
      <w:r>
        <w:rPr>
          <w:b w:val="0"/>
          <w:i w:val="0"/>
        </w:rPr>
        <w:t>Chamis</w:t>
      </w:r>
    </w:p>
    <w:p>
      <w:pPr>
        <w:pStyle w:val="ListBullet"/>
      </w:pPr>
      <w:r>
        <w:rPr>
          <w:b w:val="0"/>
          <w:i w:val="0"/>
        </w:rPr>
        <w:t>Mori–Tanaka</w:t>
      </w:r>
    </w:p>
    <w:p>
      <w:pPr>
        <w:pStyle w:val="ListBullet"/>
      </w:pPr>
      <w:r>
        <w:rPr>
          <w:b w:val="0"/>
          <w:i w:val="0"/>
        </w:rPr>
        <w:t>Hashin–Rosen</w:t>
      </w:r>
    </w:p>
    <w:p>
      <w:pPr>
        <w:pStyle w:val="ListBullet"/>
      </w:pPr>
      <w:r>
        <w:rPr>
          <w:b w:val="0"/>
          <w:i w:val="0"/>
        </w:rPr>
        <w:t>Self-consistent scheme</w:t>
      </w:r>
    </w:p>
    <w:p>
      <w:pPr>
        <w:pStyle w:val="ListBullet"/>
      </w:pPr>
      <w:r>
        <w:rPr>
          <w:b w:val="0"/>
          <w:i w:val="0"/>
        </w:rPr>
        <w:t>Woven fabric bridging</w:t>
      </w:r>
    </w:p>
    <w:p>
      <w:pPr>
        <w:pStyle w:val="ListBullet"/>
      </w:pPr>
      <w:r>
        <w:rPr>
          <w:b w:val="0"/>
          <w:i w:val="0"/>
        </w:rPr>
        <w:t>Cox shear-lag elastic</w:t>
      </w:r>
    </w:p>
    <w:p>
      <w:hyperlink r:id="rId14">
        <w:r>
          <w:rPr>
            <w:color w:val="176EA4"/>
          </w:rPr>
          <w:t>∑ Theory &amp; assumptions</w:t>
        </w:r>
      </w:hyperlink>
      <w:r>
        <w:t xml:space="preserve"> </w:t>
      </w:r>
    </w:p>
    <w:p>
      <w:hyperlink r:id="rId15">
        <w:r>
          <w:rPr>
            <w:color w:val="176EA4"/>
          </w:rPr>
          <w:t>Guided exercise &amp; two-layer workflow </w:t>
        </w:r>
      </w:hyperlink>
      <w:r>
        <w:t xml:space="preserve"> </w:t>
      </w:r>
    </w:p>
    <w:p>
      <w:pPr>
        <w:keepNext/>
      </w:pPr>
      <w:r>
        <w:rPr>
          <w:b/>
          <w:i w:val="0"/>
        </w:rPr>
        <w:t xml:space="preserve">∑ </w:t>
      </w:r>
      <w:r>
        <w:rPr>
          <w:b/>
          <w:i w:val="0"/>
        </w:rPr>
        <w:t xml:space="preserve"> </w:t>
      </w:r>
      <w:r>
        <w:rPr>
          <w:b/>
          <w:i w:val="0"/>
        </w:rPr>
        <w:t>Cure, crystallization &amp; material transport</w:t>
      </w:r>
    </w:p>
    <w:p>
      <w:pPr/>
      <w:r>
        <w:rPr>
          <w:b w:val="0"/>
          <w:i w:val="0"/>
        </w:rPr>
        <w:t>Models → material-model folders · assigned through Materials</w:t>
      </w:r>
    </w:p>
    <w:p>
      <w:r>
        <w:rPr>
          <w:b w:val="0"/>
          <w:i w:val="0"/>
        </w:rPr>
        <w:t>Inputs</w:t>
      </w:r>
      <w:r>
        <w:t xml:space="preserve"> </w:t>
      </w:r>
      <w:r>
        <w:rPr>
          <w:b w:val="0"/>
          <w:i w:val="0"/>
        </w:rPr>
        <w:t>Calibrated kinetics, modulus or transport laws and material assignment</w:t>
      </w:r>
      <w:r>
        <w:t xml:space="preserve"> </w:t>
      </w:r>
      <w:r>
        <w:rPr>
          <w:b w:val="0"/>
          <w:i w:val="0"/>
        </w:rPr>
        <w:t>Results / handoff</w:t>
      </w:r>
      <w:r>
        <w:t xml:space="preserve"> </w:t>
      </w:r>
      <w:r>
        <w:rPr>
          <w:b w:val="0"/>
          <w:i w:val="0"/>
        </w:rPr>
        <w:t>Material laws consumed by compatible Micro or transport calculations</w:t>
      </w:r>
    </w:p>
    <w:p>
      <w:pPr/>
      <w:r>
        <w:rPr>
          <w:b w:val="0"/>
          <w:i w:val="0"/>
        </w:rPr>
        <w:t>Independent model records can be linked together through material inputs. A saved model must be assigned to a material before it contributes to a simulation.</w:t>
      </w:r>
    </w:p>
    <w:p>
      <w:pPr>
        <w:keepNext/>
      </w:pPr>
      <w:r>
        <w:rPr>
          <w:b/>
          <w:i w:val="0"/>
        </w:rPr>
        <w:t>Formulations and study choices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hyperlink r:id="rId16">
        <w:r>
          <w:rPr>
            <w:color w:val="176EA4"/>
          </w:rPr>
          <w:t>∑ Theory &amp; assumptions</w:t>
        </w:r>
      </w:hyperlink>
      <w:r>
        <w:t xml:space="preserve"> </w:t>
      </w:r>
    </w:p>
    <w:p>
      <w:hyperlink r:id="rId17">
        <w:r>
          <w:rPr>
            <w:color w:val="176EA4"/>
          </w:rPr>
          <w:t>Guided exercise &amp; two-layer workflow </w:t>
        </w:r>
      </w:hyperlink>
      <w:r>
        <w:t xml:space="preserve"> </w:t>
      </w:r>
    </w:p>
    <w:p>
      <w:pPr/>
      <w:r>
        <w:rPr>
          <w:b w:val="0"/>
          <w:i w:val="0"/>
        </w:rPr>
        <w:t xml:space="preserve"> · </w:t>
      </w:r>
      <w:hyperlink r:id="rId102">
        <w:r>
          <w:rPr>
            <w:color w:val="176EA4"/>
          </w:rPr>
          <w:t>Cure kinetics</w:t>
        </w:r>
      </w:hyperlink>
      <w:r>
        <w:t xml:space="preserve"> </w:t>
      </w:r>
    </w:p>
    <w:p>
      <w:pPr/>
      <w:r>
        <w:rPr>
          <w:b w:val="0"/>
          <w:i w:val="0"/>
        </w:rPr>
        <w:t xml:space="preserve"> · </w:t>
      </w:r>
      <w:hyperlink r:id="rId103">
        <w:r>
          <w:rPr>
            <w:color w:val="176EA4"/>
          </w:rPr>
          <w:t>Crystallization kinetics</w:t>
        </w:r>
      </w:hyperlink>
      <w:r>
        <w:t xml:space="preserve"> </w:t>
      </w:r>
    </w:p>
    <w:p>
      <w:pPr>
        <w:keepNext/>
      </w:pPr>
      <w:r>
        <w:rPr>
          <w:b/>
          <w:i w:val="0"/>
        </w:rPr>
        <w:t xml:space="preserve">∑ </w:t>
      </w:r>
      <w:r>
        <w:rPr>
          <w:b/>
          <w:i w:val="0"/>
        </w:rPr>
        <w:t xml:space="preserve"> </w:t>
      </w:r>
      <w:r>
        <w:rPr>
          <w:b/>
          <w:i w:val="0"/>
        </w:rPr>
        <w:t>Thermal transport</w:t>
      </w:r>
    </w:p>
    <w:p>
      <w:pPr/>
      <w:r>
        <w:rPr>
          <w:b w:val="0"/>
          <w:i w:val="0"/>
        </w:rPr>
        <w:t>Models browser → Thermal transport · source: CASES / Thermal</w:t>
      </w:r>
    </w:p>
    <w:p>
      <w:r>
        <w:rPr>
          <w:b w:val="0"/>
          <w:i w:val="0"/>
        </w:rPr>
        <w:t>Inputs</w:t>
      </w:r>
      <w:r>
        <w:t xml:space="preserve"> </w:t>
      </w:r>
      <w:r>
        <w:rPr>
          <w:b w:val="0"/>
          <w:i w:val="0"/>
        </w:rPr>
        <w:t>Laminate transport properties, initial state and the thermal case’s own surface cycle</w:t>
      </w:r>
      <w:r>
        <w:t xml:space="preserve"> </w:t>
      </w:r>
      <w:r>
        <w:rPr>
          <w:b w:val="0"/>
          <w:i w:val="0"/>
        </w:rPr>
        <w:t>Results / handoff</w:t>
      </w:r>
      <w:r>
        <w:t xml:space="preserve"> </w:t>
      </w:r>
      <w:r>
        <w:rPr>
          <w:b w:val="0"/>
          <w:i w:val="0"/>
        </w:rPr>
        <w:t>Temperature and supported polymer-state histories; mapped fields only when coupling is enabled</w:t>
      </w:r>
    </w:p>
    <w:p>
      <w:pPr/>
      <w:r>
        <w:rPr>
          <w:b w:val="0"/>
          <w:i w:val="0"/>
        </w:rPr>
        <w:t>One transport formulation per thermal case. Select its laminate and configure its own initial conditions and surface cycle; pultrusion additionally requires a distance-based die schedule and pulling velocity.</w:t>
      </w:r>
    </w:p>
    <w:p>
      <w:pPr>
        <w:keepNext/>
      </w:pPr>
      <w:r>
        <w:rPr>
          <w:b/>
          <w:i w:val="0"/>
        </w:rPr>
        <w:t>Formulations and study choices</w:t>
      </w:r>
    </w:p>
    <w:p>
      <w:pPr>
        <w:pStyle w:val="ListBullet"/>
      </w:pPr>
      <w:r>
        <w:rPr>
          <w:b w:val="0"/>
          <w:i w:val="0"/>
        </w:rPr>
        <w:t>1D transient heat transfer</w:t>
      </w:r>
    </w:p>
    <w:p>
      <w:pPr>
        <w:pStyle w:val="ListBullet"/>
      </w:pPr>
      <w:r>
        <w:rPr>
          <w:b w:val="0"/>
          <w:i w:val="0"/>
        </w:rPr>
        <w:t>1D steady-state heat transfer</w:t>
      </w:r>
    </w:p>
    <w:p>
      <w:pPr>
        <w:pStyle w:val="ListBullet"/>
      </w:pPr>
      <w:r>
        <w:rPr>
          <w:b w:val="0"/>
          <w:i w:val="0"/>
        </w:rPr>
        <w:t>1D pultrusion thermal cure</w:t>
      </w:r>
    </w:p>
    <w:p>
      <w:hyperlink r:id="rId18">
        <w:r>
          <w:rPr>
            <w:color w:val="176EA4"/>
          </w:rPr>
          <w:t>∑ Theory &amp; assumptions</w:t>
        </w:r>
      </w:hyperlink>
      <w:r>
        <w:t xml:space="preserve"> </w:t>
      </w:r>
    </w:p>
    <w:p>
      <w:hyperlink r:id="rId19">
        <w:r>
          <w:rPr>
            <w:color w:val="176EA4"/>
          </w:rPr>
          <w:t>Guided exercise &amp; two-layer workflow </w:t>
        </w:r>
      </w:hyperlink>
      <w:r>
        <w:t xml:space="preserve"> </w:t>
      </w:r>
    </w:p>
    <w:p>
      <w:pPr/>
      <w:r>
        <w:rPr>
          <w:b w:val="0"/>
          <w:i w:val="0"/>
        </w:rPr>
        <w:t xml:space="preserve"> · </w:t>
      </w:r>
      <w:hyperlink r:id="rId104">
        <w:r>
          <w:rPr>
            <w:color w:val="176EA4"/>
          </w:rPr>
          <w:t>Pultrusion exercise</w:t>
        </w:r>
      </w:hyperlink>
      <w:r>
        <w:t xml:space="preserve"> </w:t>
      </w:r>
    </w:p>
    <w:p>
      <w:pPr/>
      <w:r>
        <w:rPr>
          <w:b w:val="0"/>
          <w:i w:val="0"/>
        </w:rPr>
        <w:t xml:space="preserve"> · </w:t>
      </w:r>
      <w:hyperlink r:id="rId105">
        <w:r>
          <w:rPr>
            <w:color w:val="176EA4"/>
          </w:rPr>
          <w:t>UV cure exercise</w:t>
        </w:r>
      </w:hyperlink>
      <w:r>
        <w:t xml:space="preserve"> </w:t>
      </w:r>
    </w:p>
    <w:p>
      <w:pPr>
        <w:keepNext/>
      </w:pPr>
      <w:r>
        <w:rPr>
          <w:b/>
          <w:i w:val="0"/>
        </w:rPr>
        <w:t xml:space="preserve">∑ </w:t>
      </w:r>
      <w:r>
        <w:rPr>
          <w:b/>
          <w:i w:val="0"/>
        </w:rPr>
        <w:t xml:space="preserve"> </w:t>
      </w:r>
      <w:r>
        <w:rPr>
          <w:b/>
          <w:i w:val="0"/>
        </w:rPr>
        <w:t>Moisture transport</w:t>
      </w:r>
    </w:p>
    <w:p>
      <w:pPr/>
      <w:r>
        <w:rPr>
          <w:b w:val="0"/>
          <w:i w:val="0"/>
        </w:rPr>
        <w:t>Models browser → Moisture transport · source: CASES / Moisture</w:t>
      </w:r>
    </w:p>
    <w:p>
      <w:r>
        <w:rPr>
          <w:b w:val="0"/>
          <w:i w:val="0"/>
        </w:rPr>
        <w:t>Inputs</w:t>
      </w:r>
      <w:r>
        <w:t xml:space="preserve"> </w:t>
      </w:r>
      <w:r>
        <w:rPr>
          <w:b w:val="0"/>
          <w:i w:val="0"/>
        </w:rPr>
        <w:t>Laminate diffusion properties, initial moisture and its own boundary schedule</w:t>
      </w:r>
      <w:r>
        <w:t xml:space="preserve"> </w:t>
      </w:r>
      <w:r>
        <w:rPr>
          <w:b w:val="0"/>
          <w:i w:val="0"/>
        </w:rPr>
        <w:t>Results / handoff</w:t>
      </w:r>
      <w:r>
        <w:t xml:space="preserve"> </w:t>
      </w:r>
      <w:r>
        <w:rPr>
          <w:b w:val="0"/>
          <w:i w:val="0"/>
        </w:rPr>
        <w:t>Moisture history and enabled swelling contribution</w:t>
      </w:r>
    </w:p>
    <w:p>
      <w:pPr/>
      <w:r>
        <w:rPr>
          <w:b w:val="0"/>
          <w:i w:val="0"/>
        </w:rPr>
        <w:t>One formulation per moisture analysis. Thermal and moisture analyses can both be linked in Simulation; each needs its own boundary conditions.</w:t>
      </w:r>
    </w:p>
    <w:p>
      <w:pPr>
        <w:keepNext/>
      </w:pPr>
      <w:r>
        <w:rPr>
          <w:b/>
          <w:i w:val="0"/>
        </w:rPr>
        <w:t>Formulations and study choices</w:t>
      </w:r>
    </w:p>
    <w:p>
      <w:pPr>
        <w:pStyle w:val="ListBullet"/>
      </w:pPr>
      <w:r>
        <w:rPr>
          <w:b w:val="0"/>
          <w:i w:val="0"/>
        </w:rPr>
        <w:t>1D transient moisture diffusion</w:t>
      </w:r>
    </w:p>
    <w:p>
      <w:pPr>
        <w:pStyle w:val="ListBullet"/>
      </w:pPr>
      <w:r>
        <w:rPr>
          <w:b w:val="0"/>
          <w:i w:val="0"/>
        </w:rPr>
        <w:t>1D steady-state moisture diffusion</w:t>
      </w:r>
    </w:p>
    <w:p>
      <w:hyperlink r:id="rId20">
        <w:r>
          <w:rPr>
            <w:color w:val="176EA4"/>
          </w:rPr>
          <w:t>∑ Theory &amp; assumptions</w:t>
        </w:r>
      </w:hyperlink>
      <w:r>
        <w:t xml:space="preserve"> </w:t>
      </w:r>
    </w:p>
    <w:p>
      <w:hyperlink r:id="rId21">
        <w:r>
          <w:rPr>
            <w:color w:val="176EA4"/>
          </w:rPr>
          <w:t>Guided exercise &amp; two-layer workflow </w:t>
        </w:r>
      </w:hyperlink>
      <w:r>
        <w:t xml:space="preserve"> </w:t>
      </w:r>
    </w:p>
    <w:p>
      <w:pPr>
        <w:keepNext/>
      </w:pPr>
      <w:r>
        <w:rPr>
          <w:b/>
          <w:i w:val="0"/>
        </w:rPr>
        <w:t xml:space="preserve">∑ </w:t>
      </w:r>
      <w:r>
        <w:rPr>
          <w:b/>
          <w:i w:val="0"/>
        </w:rPr>
        <w:t xml:space="preserve"> </w:t>
      </w:r>
      <w:r>
        <w:rPr>
          <w:b/>
          <w:i w:val="0"/>
        </w:rPr>
        <w:t>Plate · CLT &amp; FSDT</w:t>
      </w:r>
    </w:p>
    <w:p>
      <w:pPr/>
      <w:r>
        <w:rPr>
          <w:b w:val="0"/>
          <w:i w:val="0"/>
        </w:rPr>
        <w:t>Structural models → Laminate mechanics · CLT / FSDT</w:t>
      </w:r>
    </w:p>
    <w:p>
      <w:r>
        <w:rPr>
          <w:b w:val="0"/>
          <w:i w:val="0"/>
        </w:rPr>
        <w:t>Inputs</w:t>
      </w:r>
      <w:r>
        <w:t xml:space="preserve"> </w:t>
      </w:r>
      <w:r>
        <w:rPr>
          <w:b w:val="0"/>
          <w:i w:val="0"/>
        </w:rPr>
        <w:t>Laminate stiffness, finite plate dimensions, supported edges and study choice</w:t>
      </w:r>
      <w:r>
        <w:t xml:space="preserve"> </w:t>
      </w:r>
      <w:r>
        <w:rPr>
          <w:b w:val="0"/>
          <w:i w:val="0"/>
        </w:rPr>
        <w:t>Results / handoff</w:t>
      </w:r>
      <w:r>
        <w:t xml:space="preserve"> </w:t>
      </w:r>
      <w:r>
        <w:rPr>
          <w:b w:val="0"/>
          <w:i w:val="0"/>
        </w:rPr>
        <w:t>FSDT static bending or selected buckling / modal results; not progressive damage</w:t>
      </w:r>
    </w:p>
    <w:p>
      <w:pPr/>
      <w:r>
        <w:rPr>
          <w:b w:val="0"/>
          <w:i w:val="0"/>
        </w:rPr>
        <w:t>Choose a formulation and study. Buckling and modal can be requested together; static bending requires FSDT. These are reference-elastic studies, separate from coupled process or progressive failure.</w:t>
      </w:r>
    </w:p>
    <w:p>
      <w:pPr>
        <w:keepNext/>
      </w:pPr>
      <w:r>
        <w:rPr>
          <w:b/>
          <w:i w:val="0"/>
        </w:rPr>
        <w:t>Formulations and study choices</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hyperlink r:id="rId22">
        <w:r>
          <w:rPr>
            <w:color w:val="176EA4"/>
          </w:rPr>
          <w:t>∑ Theory &amp; assumptions</w:t>
        </w:r>
      </w:hyperlink>
      <w:r>
        <w:t xml:space="preserve"> </w:t>
      </w:r>
    </w:p>
    <w:p>
      <w:hyperlink r:id="rId23">
        <w:r>
          <w:rPr>
            <w:color w:val="176EA4"/>
          </w:rPr>
          <w:t>Guided exercise &amp; two-layer workflow </w:t>
        </w:r>
      </w:hyperlink>
      <w:r>
        <w:t xml:space="preserve"> </w:t>
      </w:r>
    </w:p>
    <w:p>
      <w:pPr>
        <w:keepNext/>
      </w:pPr>
      <w:r>
        <w:rPr>
          <w:b/>
          <w:i w:val="0"/>
        </w:rPr>
        <w:t xml:space="preserve">∑ </w:t>
      </w:r>
      <w:r>
        <w:rPr>
          <w:b/>
          <w:i w:val="0"/>
        </w:rPr>
        <w:t xml:space="preserve"> </w:t>
      </w:r>
      <w:r>
        <w:rPr>
          <w:b/>
          <w:i w:val="0"/>
        </w:rPr>
        <w:t>Cylinder</w:t>
      </w:r>
    </w:p>
    <w:p>
      <w:pPr/>
      <w:r>
        <w:rPr>
          <w:b w:val="0"/>
          <w:i w:val="0"/>
        </w:rPr>
        <w:t>Structural models → Cylinder models</w:t>
      </w:r>
    </w:p>
    <w:p>
      <w:r>
        <w:rPr>
          <w:b w:val="0"/>
          <w:i w:val="0"/>
        </w:rPr>
        <w:t>Inputs</w:t>
      </w:r>
      <w:r>
        <w:t xml:space="preserve"> </w:t>
      </w:r>
      <w:r>
        <w:rPr>
          <w:b w:val="0"/>
          <w:i w:val="0"/>
        </w:rPr>
        <w:t>Laminate, cylinder dimensions and formulation-compatible pressure / axial loading</w:t>
      </w:r>
      <w:r>
        <w:t xml:space="preserve"> </w:t>
      </w:r>
      <w:r>
        <w:rPr>
          <w:b w:val="0"/>
          <w:i w:val="0"/>
        </w:rPr>
        <w:t>Results / handoff</w:t>
      </w:r>
      <w:r>
        <w:t xml:space="preserve"> </w:t>
      </w:r>
      <w:r>
        <w:rPr>
          <w:b w:val="0"/>
          <w:i w:val="0"/>
        </w:rPr>
        <w:t>Thin-wall membrane response or layerwise radial fields, with distinct assumptions</w:t>
      </w:r>
    </w:p>
    <w:p>
      <w:pPr/>
      <w:r>
        <w:rPr>
          <w:b w:val="0"/>
          <w:i w:val="0"/>
        </w:rPr>
        <w:t>Choose one cylinder formulation per case record. Geometry and plies remain shared; thick-wall radial results exclude torsion and process strains.</w:t>
      </w:r>
    </w:p>
    <w:p>
      <w:pPr>
        <w:keepNext/>
      </w:pPr>
      <w:r>
        <w:rPr>
          <w:b/>
          <w:i w:val="0"/>
        </w:rPr>
        <w:t>Formulations and study choices</w:t>
      </w:r>
    </w:p>
    <w:p>
      <w:pPr>
        <w:pStyle w:val="ListBullet"/>
      </w:pPr>
      <w:r>
        <w:rPr>
          <w:b w:val="0"/>
          <w:i w:val="0"/>
        </w:rPr>
        <w:t>Linear thin-wall membrane</w:t>
      </w:r>
    </w:p>
    <w:p>
      <w:pPr>
        <w:pStyle w:val="ListBullet"/>
      </w:pPr>
      <w:r>
        <w:rPr>
          <w:b w:val="0"/>
          <w:i w:val="0"/>
        </w:rPr>
        <w:t>Layerwise thick-wall elasticity</w:t>
      </w:r>
    </w:p>
    <w:p>
      <w:hyperlink r:id="rId24">
        <w:r>
          <w:rPr>
            <w:color w:val="176EA4"/>
          </w:rPr>
          <w:t>∑ Theory &amp; assumptions</w:t>
        </w:r>
      </w:hyperlink>
      <w:r>
        <w:t xml:space="preserve"> </w:t>
      </w:r>
    </w:p>
    <w:p>
      <w:hyperlink r:id="rId25">
        <w:r>
          <w:rPr>
            <w:color w:val="176EA4"/>
          </w:rPr>
          <w:t>Guided exercise &amp; two-layer workflow </w:t>
        </w:r>
      </w:hyperlink>
      <w:r>
        <w:t xml:space="preserve"> </w:t>
      </w:r>
    </w:p>
    <w:p>
      <w:pPr/>
      <w:r>
        <w:rPr>
          <w:b w:val="0"/>
          <w:i w:val="0"/>
        </w:rPr>
        <w:t xml:space="preserve"> · </w:t>
      </w:r>
      <w:hyperlink r:id="rId106">
        <w:r>
          <w:rPr>
            <w:color w:val="176EA4"/>
          </w:rPr>
          <w:t>Layerwise thick-wall theory</w:t>
        </w:r>
      </w:hyperlink>
      <w:r>
        <w:t xml:space="preserve"> </w:t>
      </w:r>
    </w:p>
    <w:p>
      <w:pPr>
        <w:keepNext/>
      </w:pPr>
      <w:r>
        <w:rPr>
          <w:b/>
          <w:i w:val="0"/>
        </w:rPr>
        <w:t xml:space="preserve">∑ </w:t>
      </w:r>
      <w:r>
        <w:rPr>
          <w:b/>
          <w:i w:val="0"/>
        </w:rPr>
        <w:t xml:space="preserve"> </w:t>
      </w:r>
      <w:r>
        <w:rPr>
          <w:b/>
          <w:i w:val="0"/>
        </w:rPr>
        <w:t>Membrane, bending &amp; beam buckling</w:t>
      </w:r>
    </w:p>
    <w:p>
      <w:pPr/>
      <w:r>
        <w:rPr>
          <w:b w:val="0"/>
          <w:i w:val="0"/>
        </w:rPr>
        <w:t>Structural models → Laminate mechanics → Membrane, bending &amp; beam</w:t>
      </w:r>
    </w:p>
    <w:p>
      <w:r>
        <w:rPr>
          <w:b w:val="0"/>
          <w:i w:val="0"/>
        </w:rPr>
        <w:t>Inputs</w:t>
      </w:r>
      <w:r>
        <w:t xml:space="preserve"> </w:t>
      </w:r>
      <w:r>
        <w:rPr>
          <w:b w:val="0"/>
          <w:i w:val="0"/>
        </w:rPr>
        <w:t>Laminate, compatible section and static or Euler load case</w:t>
      </w:r>
      <w:r>
        <w:t xml:space="preserve"> </w:t>
      </w:r>
      <w:r>
        <w:rPr>
          <w:b w:val="0"/>
          <w:i w:val="0"/>
        </w:rPr>
        <w:t>Results / handoff</w:t>
      </w:r>
      <w:r>
        <w:t xml:space="preserve"> </w:t>
      </w:r>
      <w:r>
        <w:rPr>
          <w:b w:val="0"/>
          <w:i w:val="0"/>
        </w:rPr>
        <w:t>Membrane / bending response or separate Euler buckling result</w:t>
      </w:r>
    </w:p>
    <w:p>
      <w:pPr/>
      <w:r>
        <w:rPr>
          <w:b w:val="0"/>
          <w:i w:val="0"/>
        </w:rPr>
        <w:t>Geometry and the case determine the membrane or beam-test interpretation. Euler buckling requires a compatible beam section and a separate reference-elastic study; it is not a strength or local-buckling pass.</w:t>
      </w:r>
    </w:p>
    <w:p>
      <w:pPr>
        <w:keepNext/>
      </w:pPr>
      <w:r>
        <w:rPr>
          <w:b/>
          <w:i w:val="0"/>
        </w:rPr>
        <w:t>Formulations and study choices</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hyperlink r:id="rId26">
        <w:r>
          <w:rPr>
            <w:color w:val="176EA4"/>
          </w:rPr>
          <w:t>∑ Theory &amp; assumptions</w:t>
        </w:r>
      </w:hyperlink>
      <w:r>
        <w:t xml:space="preserve"> </w:t>
      </w:r>
    </w:p>
    <w:p>
      <w:hyperlink r:id="rId27">
        <w:r>
          <w:rPr>
            <w:color w:val="176EA4"/>
          </w:rPr>
          <w:t>Guided exercise &amp; two-layer workflow </w:t>
        </w:r>
      </w:hyperlink>
      <w:r>
        <w:t xml:space="preserve"> </w:t>
      </w:r>
    </w:p>
    <w:p>
      <w:pPr>
        <w:keepNext/>
      </w:pPr>
      <w:r>
        <w:rPr>
          <w:b/>
          <w:i w:val="0"/>
        </w:rPr>
        <w:t xml:space="preserve">∑ </w:t>
      </w:r>
      <w:r>
        <w:rPr>
          <w:b/>
          <w:i w:val="0"/>
        </w:rPr>
        <w:t xml:space="preserve"> </w:t>
      </w:r>
      <w:r>
        <w:rPr>
          <w:b/>
          <w:i w:val="0"/>
        </w:rPr>
        <w:t>Layerwise sections, joints &amp; delamination</w:t>
      </w:r>
    </w:p>
    <w:p>
      <w:pPr/>
      <w:r>
        <w:rPr>
          <w:b w:val="0"/>
          <w:i w:val="0"/>
        </w:rPr>
        <w:t>Structural models → Layerwise sections &amp; joints</w:t>
      </w:r>
    </w:p>
    <w:p>
      <w:r>
        <w:rPr>
          <w:b w:val="0"/>
          <w:i w:val="0"/>
        </w:rPr>
        <w:t>Inputs</w:t>
      </w:r>
      <w:r>
        <w:t xml:space="preserve"> </w:t>
      </w:r>
      <w:r>
        <w:rPr>
          <w:b w:val="0"/>
          <w:i w:val="0"/>
        </w:rPr>
        <w:t>Section or lap geometry, laminate, loads and calibrated interface properties</w:t>
      </w:r>
      <w:r>
        <w:t xml:space="preserve"> </w:t>
      </w:r>
      <w:r>
        <w:rPr>
          <w:b w:val="0"/>
          <w:i w:val="0"/>
        </w:rPr>
        <w:t>Results / handoff</w:t>
      </w:r>
      <w:r>
        <w:t xml:space="preserve"> </w:t>
      </w:r>
      <w:r>
        <w:rPr>
          <w:b w:val="0"/>
          <w:i w:val="0"/>
        </w:rPr>
        <w:t>x–z fields; coupled ply damage and delamination only for the supported layerwise plate path</w:t>
      </w:r>
    </w:p>
    <w:p>
      <w:pPr/>
      <w:r>
        <w:rPr>
          <w:b w:val="0"/>
          <w:i w:val="0"/>
        </w:rPr>
        <w:t>Coupled delamination is available only for the layerwise Plate section and needs calibrated interface and ply properties. Lap-shear uses its separate joint geometry and perfectly bonded elastic formulation.</w:t>
      </w:r>
    </w:p>
    <w:p>
      <w:pPr>
        <w:keepNext/>
      </w:pPr>
      <w:r>
        <w:rPr>
          <w:b/>
          <w:i w:val="0"/>
        </w:rPr>
        <w:t>Formulations and study choices</w:t>
      </w:r>
    </w:p>
    <w:p>
      <w:pPr>
        <w:pStyle w:val="ListBullet"/>
      </w:pPr>
      <w:r>
        <w:rPr>
          <w:b w:val="0"/>
          <w:i w:val="0"/>
        </w:rPr>
        <w:t>Layerwise x-z plane strain</w:t>
      </w:r>
    </w:p>
    <w:p>
      <w:pPr>
        <w:pStyle w:val="ListBullet"/>
      </w:pPr>
      <w:r>
        <w:rPr>
          <w:b w:val="0"/>
          <w:i w:val="0"/>
        </w:rPr>
        <w:t>Single-lap x-z plane strain</w:t>
      </w:r>
    </w:p>
    <w:p>
      <w:pPr>
        <w:pStyle w:val="ListBullet"/>
      </w:pPr>
      <w:r>
        <w:rPr>
          <w:b w:val="0"/>
          <w:i w:val="0"/>
        </w:rPr>
        <w:t>Coupled delamination growth</w:t>
      </w:r>
    </w:p>
    <w:p>
      <w:hyperlink r:id="rId28">
        <w:r>
          <w:rPr>
            <w:color w:val="176EA4"/>
          </w:rPr>
          <w:t>∑ Theory &amp; assumptions</w:t>
        </w:r>
      </w:hyperlink>
      <w:r>
        <w:t xml:space="preserve"> </w:t>
      </w:r>
    </w:p>
    <w:p>
      <w:hyperlink r:id="rId29">
        <w:r>
          <w:rPr>
            <w:color w:val="176EA4"/>
          </w:rPr>
          <w:t>Guided exercise &amp; two-layer workflow </w:t>
        </w:r>
      </w:hyperlink>
      <w:r>
        <w:t xml:space="preserve"> </w:t>
      </w:r>
    </w:p>
    <w:p>
      <w:pPr/>
      <w:r>
        <w:rPr>
          <w:b w:val="0"/>
          <w:i w:val="0"/>
        </w:rPr>
        <w:t xml:space="preserve"> · </w:t>
      </w:r>
      <w:hyperlink r:id="rId107">
        <w:r>
          <w:rPr>
            <w:color w:val="176EA4"/>
          </w:rPr>
          <w:t>Cohesive interface theory</w:t>
        </w:r>
      </w:hyperlink>
      <w:r>
        <w:t xml:space="preserve"> </w:t>
      </w:r>
    </w:p>
    <w:p>
      <w:pPr>
        <w:keepNext/>
      </w:pPr>
      <w:r>
        <w:rPr>
          <w:b/>
          <w:i w:val="0"/>
        </w:rPr>
        <w:t xml:space="preserve">∑ </w:t>
      </w:r>
      <w:r>
        <w:rPr>
          <w:b/>
          <w:i w:val="0"/>
        </w:rPr>
        <w:t xml:space="preserve"> </w:t>
      </w:r>
      <w:r>
        <w:rPr>
          <w:b/>
          <w:i w:val="0"/>
        </w:rPr>
        <w:t>Sandwich bending</w:t>
      </w:r>
    </w:p>
    <w:p>
      <w:pPr/>
      <w:r>
        <w:rPr>
          <w:b w:val="0"/>
          <w:i w:val="0"/>
        </w:rPr>
        <w:t>Structural models → Sandwich bending</w:t>
      </w:r>
    </w:p>
    <w:p>
      <w:r>
        <w:rPr>
          <w:b w:val="0"/>
          <w:i w:val="0"/>
        </w:rPr>
        <w:t>Inputs</w:t>
      </w:r>
      <w:r>
        <w:t xml:space="preserve"> </w:t>
      </w:r>
      <w:r>
        <w:rPr>
          <w:b w:val="0"/>
          <w:i w:val="0"/>
        </w:rPr>
        <w:t>Faces, core, dimensions and three-point-bend load</w:t>
      </w:r>
      <w:r>
        <w:t xml:space="preserve"> </w:t>
      </w:r>
      <w:r>
        <w:rPr>
          <w:b w:val="0"/>
          <w:i w:val="0"/>
        </w:rPr>
        <w:t>Results / handoff</w:t>
      </w:r>
      <w:r>
        <w:t xml:space="preserve"> </w:t>
      </w:r>
      <w:r>
        <w:rPr>
          <w:b w:val="0"/>
          <w:i w:val="0"/>
        </w:rPr>
        <w:t>Deflection and separate face, core and nominal bond-shear screening</w:t>
      </w:r>
    </w:p>
    <w:p>
      <w:pPr/>
      <w:r>
        <w:rPr>
          <w:b w:val="0"/>
          <w:i w:val="0"/>
        </w:rPr>
        <w:t>Dedicated sandwich screening. Check core, faces and nominal bond shear separately; peel, mixed-mode debonding and crack growth are not assessed.</w:t>
      </w:r>
    </w:p>
    <w:p>
      <w:pPr>
        <w:keepNext/>
      </w:pPr>
      <w:r>
        <w:rPr>
          <w:b/>
          <w:i w:val="0"/>
        </w:rPr>
        <w:t>Formulations and study choices</w:t>
      </w:r>
    </w:p>
    <w:p>
      <w:pPr>
        <w:pStyle w:val="ListBullet"/>
      </w:pPr>
      <w:r>
        <w:rPr>
          <w:b w:val="0"/>
          <w:i w:val="0"/>
        </w:rPr>
        <w:t>Sandwich three-point bend</w:t>
      </w:r>
    </w:p>
    <w:p>
      <w:hyperlink r:id="rId28">
        <w:r>
          <w:rPr>
            <w:color w:val="176EA4"/>
          </w:rPr>
          <w:t>∑ Theory &amp; assumptions</w:t>
        </w:r>
      </w:hyperlink>
      <w:r>
        <w:t xml:space="preserve"> </w:t>
      </w:r>
    </w:p>
    <w:p>
      <w:hyperlink r:id="rId30">
        <w:r>
          <w:rPr>
            <w:color w:val="176EA4"/>
          </w:rPr>
          <w:t>Guided exercise &amp; two-layer workflow </w:t>
        </w:r>
      </w:hyperlink>
      <w:r>
        <w:t xml:space="preserve"> </w:t>
      </w:r>
    </w:p>
    <w:p>
      <w:pPr>
        <w:keepNext/>
      </w:pPr>
      <w:r>
        <w:rPr>
          <w:b/>
          <w:i w:val="0"/>
        </w:rPr>
        <w:t xml:space="preserve">∑ </w:t>
      </w:r>
      <w:r>
        <w:rPr>
          <w:b/>
          <w:i w:val="0"/>
        </w:rPr>
        <w:t xml:space="preserve"> </w:t>
      </w:r>
      <w:r>
        <w:rPr>
          <w:b/>
          <w:i w:val="0"/>
        </w:rPr>
        <w:t>Failure &amp; envelope comparison</w:t>
      </w:r>
    </w:p>
    <w:p>
      <w:pPr/>
      <w:r>
        <w:rPr>
          <w:b w:val="0"/>
          <w:i w:val="0"/>
        </w:rPr>
        <w:t>Structural models → Laminate mechanics → Failure criteria</w:t>
      </w:r>
    </w:p>
    <w:p>
      <w:r>
        <w:rPr>
          <w:b w:val="0"/>
          <w:i w:val="0"/>
        </w:rPr>
        <w:t>Inputs</w:t>
      </w:r>
      <w:r>
        <w:t xml:space="preserve"> </w:t>
      </w:r>
      <w:r>
        <w:rPr>
          <w:b w:val="0"/>
          <w:i w:val="0"/>
        </w:rPr>
        <w:t>Eligible CLT load case, strengths / strain limits and selected criterion</w:t>
      </w:r>
      <w:r>
        <w:t xml:space="preserve"> </w:t>
      </w:r>
      <w:r>
        <w:rPr>
          <w:b w:val="0"/>
          <w:i w:val="0"/>
        </w:rPr>
        <w:t>Results / handoff</w:t>
      </w:r>
      <w:r>
        <w:t xml:space="preserve"> </w:t>
      </w:r>
      <w:r>
        <w:rPr>
          <w:b w:val="0"/>
          <w:i w:val="0"/>
        </w:rPr>
        <w:t>First-ply envelopes or supported progressive ply-damage histories; criteria are not blended</w:t>
      </w:r>
    </w:p>
    <w:p>
      <w:pPr/>
      <w:r>
        <w:rPr>
          <w:b w:val="0"/>
          <w:i w:val="0"/>
        </w:rPr>
        <w:t>One primary failure criterion per load. In Response → Failure, compare all eligible theories or a custom selection in the envelope controls. Each theory runs independently; criteria are not blended.</w:t>
      </w:r>
    </w:p>
    <w:p>
      <w:pPr>
        <w:keepNext/>
      </w:pPr>
      <w:r>
        <w:rPr>
          <w:b/>
          <w:i w:val="0"/>
        </w:rPr>
        <w:t>Formulations and study choices</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hyperlink r:id="rId31">
        <w:r>
          <w:rPr>
            <w:color w:val="176EA4"/>
          </w:rPr>
          <w:t>∑ Theory &amp; assumptions</w:t>
        </w:r>
      </w:hyperlink>
      <w:r>
        <w:t xml:space="preserve"> </w:t>
      </w:r>
    </w:p>
    <w:p>
      <w:hyperlink r:id="rId32">
        <w:r>
          <w:rPr>
            <w:color w:val="176EA4"/>
          </w:rPr>
          <w:t>Guided exercise &amp; two-layer workflow </w:t>
        </w:r>
      </w:hyperlink>
      <w:r>
        <w:t xml:space="preserve"> </w:t>
      </w:r>
    </w:p>
    <w:p>
      <w:pPr/>
      <w:r>
        <w:rPr>
          <w:b w:val="0"/>
          <w:i w:val="0"/>
        </w:rPr>
        <w:t xml:space="preserve"> · </w:t>
      </w:r>
      <w:hyperlink r:id="rId108">
        <w:r>
          <w:rPr>
            <w:color w:val="176EA4"/>
          </w:rPr>
          <w:t>Failure equations</w:t>
        </w:r>
      </w:hyperlink>
      <w:r>
        <w:t xml:space="preserve"> </w:t>
      </w:r>
    </w:p>
    <w:p>
      <w:pPr/>
      <w:r>
        <w:rPr>
          <w:b w:val="0"/>
          <w:i w:val="0"/>
        </w:rPr>
        <w:t xml:space="preserve"> · </w:t>
      </w:r>
      <w:hyperlink r:id="rId109">
        <w:r>
          <w:rPr>
            <w:color w:val="176EA4"/>
          </w:rPr>
          <w:t>Implemented Workbench methods</w:t>
        </w:r>
      </w:hyperlink>
      <w:r>
        <w:t xml:space="preserve"> </w:t>
      </w:r>
    </w:p>
    <w:p>
      <w:pPr>
        <w:keepNext/>
      </w:pPr>
      <w:r>
        <w:rPr>
          <w:b/>
          <w:i w:val="0"/>
        </w:rPr>
        <w:t xml:space="preserve">∑ </w:t>
      </w:r>
      <w:r>
        <w:rPr>
          <w:b/>
          <w:i w:val="0"/>
        </w:rPr>
        <w:t xml:space="preserve"> </w:t>
      </w:r>
      <w:r>
        <w:rPr>
          <w:b/>
          <w:i w:val="0"/>
        </w:rPr>
        <w:t>Fatigue S–N</w:t>
      </w:r>
    </w:p>
    <w:p>
      <w:pPr/>
      <w:r>
        <w:rPr>
          <w:b w:val="0"/>
          <w:i w:val="0"/>
        </w:rPr>
        <w:t>Structural models → Laminate mechanics → Fatigue</w:t>
      </w:r>
    </w:p>
    <w:p>
      <w:r>
        <w:rPr>
          <w:b w:val="0"/>
          <w:i w:val="0"/>
        </w:rPr>
        <w:t>Inputs</w:t>
      </w:r>
      <w:r>
        <w:t xml:space="preserve"> </w:t>
      </w:r>
      <w:r>
        <w:rPr>
          <w:b w:val="0"/>
          <w:i w:val="0"/>
        </w:rPr>
        <w:t>Intact ply stresses, cyclic loads and measured S–N calibration</w:t>
      </w:r>
      <w:r>
        <w:t xml:space="preserve"> </w:t>
      </w:r>
      <w:r>
        <w:rPr>
          <w:b w:val="0"/>
          <w:i w:val="0"/>
        </w:rPr>
        <w:t>Results / handoff</w:t>
      </w:r>
      <w:r>
        <w:t xml:space="preserve"> </w:t>
      </w:r>
      <w:r>
        <w:rPr>
          <w:b w:val="0"/>
          <w:i w:val="0"/>
        </w:rPr>
        <w:t>Separate life assessment; no automatic laminate degradation</w:t>
      </w:r>
    </w:p>
    <w:p>
      <w:pPr/>
      <w:r>
        <w:rPr>
          <w:b w:val="0"/>
          <w:i w:val="0"/>
        </w:rPr>
        <w:t>Select calibrated S–N curves for each material, direction and stress sign in Fatigue. Different sources can use different models. S–N life does not define residual stiffness or strength.</w:t>
      </w:r>
    </w:p>
    <w:p>
      <w:pPr>
        <w:keepNext/>
      </w:pPr>
      <w:r>
        <w:rPr>
          <w:b/>
          <w:i w:val="0"/>
        </w:rPr>
        <w:t>Formulations and study choices</w:t>
      </w:r>
    </w:p>
    <w:p>
      <w:pPr>
        <w:pStyle w:val="ListBullet"/>
      </w:pPr>
      <w:r>
        <w:rPr>
          <w:b w:val="0"/>
          <w:i w:val="0"/>
        </w:rPr>
        <w:t>Kim–Zhang</w:t>
      </w:r>
    </w:p>
    <w:p>
      <w:pPr>
        <w:pStyle w:val="ListBullet"/>
      </w:pPr>
      <w:r>
        <w:rPr>
          <w:b w:val="0"/>
          <w:i w:val="0"/>
        </w:rPr>
        <w:t>Sendeckyj</w:t>
      </w:r>
    </w:p>
    <w:p>
      <w:pPr>
        <w:pStyle w:val="ListBullet"/>
      </w:pPr>
      <w:r>
        <w:rPr>
          <w:b w:val="0"/>
          <w:i w:val="0"/>
        </w:rPr>
        <w:t>Weibull S–N</w:t>
      </w:r>
    </w:p>
    <w:p>
      <w:pPr>
        <w:pStyle w:val="ListBullet"/>
      </w:pPr>
      <w:r>
        <w:rPr>
          <w:b w:val="0"/>
          <w:i w:val="0"/>
        </w:rPr>
        <w:t>Kohout–Vechet</w:t>
      </w:r>
    </w:p>
    <w:p>
      <w:pPr>
        <w:pStyle w:val="ListBullet"/>
      </w:pPr>
      <w:r>
        <w:rPr>
          <w:b w:val="0"/>
          <w:i w:val="0"/>
        </w:rPr>
        <w:t>Basquin</w:t>
      </w:r>
    </w:p>
    <w:p>
      <w:hyperlink r:id="rId13">
        <w:r>
          <w:rPr>
            <w:color w:val="176EA4"/>
          </w:rPr>
          <w:t>∑ Theory &amp; assumptions</w:t>
        </w:r>
      </w:hyperlink>
      <w:r>
        <w:t xml:space="preserve"> </w:t>
      </w:r>
    </w:p>
    <w:p>
      <w:hyperlink r:id="rId32">
        <w:r>
          <w:rPr>
            <w:color w:val="176EA4"/>
          </w:rPr>
          <w:t>Starter load case · add calibrated fatigue </w:t>
        </w:r>
      </w:hyperlink>
      <w:r>
        <w:t xml:space="preserve"> </w:t>
      </w:r>
    </w:p>
    <w:p>
      <w:pPr>
        <w:keepNext/>
      </w:pPr>
      <w:r>
        <w:rPr>
          <w:b/>
          <w:i w:val="0"/>
        </w:rPr>
        <w:t xml:space="preserve">∑ </w:t>
      </w:r>
      <w:r>
        <w:rPr>
          <w:b/>
          <w:i w:val="0"/>
        </w:rPr>
        <w:t xml:space="preserve"> </w:t>
      </w:r>
      <w:r>
        <w:rPr>
          <w:b/>
          <w:i w:val="0"/>
        </w:rPr>
        <w:t>D6641 · Compression coupon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small-strain compression using linked laminate Ex and thickness. Measured compressive strength supplies a screening ratio; fixture, tabs, buckling and failure evolution are not simulated.</w:t>
      </w:r>
    </w:p>
    <w:p>
      <w:pPr/>
      <w:r>
        <w:rPr>
          <w:b w:val="0"/>
          <w:i w:val="0"/>
        </w:rPr>
        <w:t>Uniform small-strain compression using linked laminate Ex and thickness. Measured compressive strength supplies a screening ratio; fixture, tabs, buckling and failure evolution are not simulated.</w:t>
      </w:r>
    </w:p>
    <w:p>
      <w:pPr>
        <w:keepNext/>
      </w:pPr>
      <w:r>
        <w:rPr>
          <w:b/>
          <w:i w:val="0"/>
        </w:rPr>
        <w:t>Formulations and study choices</w:t>
      </w:r>
    </w:p>
    <w:p>
      <w:pPr>
        <w:pStyle w:val="ListBullet"/>
      </w:pPr>
      <w:r>
        <w:rPr>
          <w:b w:val="0"/>
          <w:i w:val="0"/>
        </w:rPr>
        <w:t>Virtual test · compression coupon</w:t>
      </w:r>
    </w:p>
    <w:p>
      <w:hyperlink r:id="rId33">
        <w:r>
          <w:rPr>
            <w:color w:val="176EA4"/>
          </w:rPr>
          <w:t>∑ Theory &amp; assumptions</w:t>
        </w:r>
      </w:hyperlink>
      <w:r>
        <w:t xml:space="preserve"> </w:t>
      </w:r>
    </w:p>
    <w:p>
      <w:hyperlink r:id="rId34">
        <w:r>
          <w:rPr>
            <w:color w:val="176EA4"/>
          </w:rPr>
          <w:t>Guided exercise &amp; two-layer workflow </w:t>
        </w:r>
      </w:hyperlink>
      <w:r>
        <w:t xml:space="preserve"> </w:t>
      </w:r>
    </w:p>
    <w:p>
      <w:pPr>
        <w:keepNext/>
      </w:pPr>
      <w:r>
        <w:rPr>
          <w:b/>
          <w:i w:val="0"/>
        </w:rPr>
        <w:t xml:space="preserve">∑ </w:t>
      </w:r>
      <w:r>
        <w:rPr>
          <w:b/>
          <w:i w:val="0"/>
        </w:rPr>
        <w:t xml:space="preserve"> </w:t>
      </w:r>
      <w:r>
        <w:rPr>
          <w:b/>
          <w:i w:val="0"/>
        </w:rPr>
        <w:t>D5379 / D7078 · Shear coupon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r>
        <w:rPr>
          <w:b w:val="0"/>
          <w:i w:val="0"/>
        </w:rPr>
        <w:t>Uniform nominal shear between notches using linked laminate Gxy and thickness. Not a notch/fixture stress field or nonlinear shear solution. Gauge length is the effective shear deformation length, not crosshead travel.</w:t>
      </w:r>
    </w:p>
    <w:p>
      <w:pPr>
        <w:keepNext/>
      </w:pPr>
      <w:r>
        <w:rPr>
          <w:b/>
          <w:i w:val="0"/>
        </w:rPr>
        <w:t>Formulations and study choices</w:t>
      </w:r>
    </w:p>
    <w:p>
      <w:pPr>
        <w:pStyle w:val="ListBullet"/>
      </w:pPr>
      <w:r>
        <w:rPr>
          <w:b w:val="0"/>
          <w:i w:val="0"/>
        </w:rPr>
        <w:t>Virtual test · nominal shear coupon</w:t>
      </w:r>
    </w:p>
    <w:p>
      <w:hyperlink r:id="rId35">
        <w:r>
          <w:rPr>
            <w:color w:val="176EA4"/>
          </w:rPr>
          <w:t>∑ Theory &amp; assumptions</w:t>
        </w:r>
      </w:hyperlink>
      <w:r>
        <w:t xml:space="preserve"> </w:t>
      </w:r>
    </w:p>
    <w:p>
      <w:hyperlink r:id="rId36">
        <w:r>
          <w:rPr>
            <w:color w:val="176EA4"/>
          </w:rPr>
          <w:t>Guided exercise &amp; two-layer workflow </w:t>
        </w:r>
      </w:hyperlink>
      <w:r>
        <w:t xml:space="preserve"> </w:t>
      </w:r>
    </w:p>
    <w:p>
      <w:pPr>
        <w:keepNext/>
      </w:pPr>
      <w:r>
        <w:rPr>
          <w:b/>
          <w:i w:val="0"/>
        </w:rPr>
        <w:t xml:space="preserve">∑ </w:t>
      </w:r>
      <w:r>
        <w:rPr>
          <w:b/>
          <w:i w:val="0"/>
        </w:rPr>
        <w:t xml:space="preserve"> </w:t>
      </w:r>
      <w:r>
        <w:rPr>
          <w:b/>
          <w:i w:val="0"/>
        </w:rPr>
        <w:t>D5528 · DCB opening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r>
        <w:rPr>
          <w:b w:val="0"/>
          <w:i w:val="0"/>
        </w:rPr>
        <w:t>Ideal Euler–Bernoulli DCB with equal homogeneous 0° arms, each half the linked laminate thickness. No root rotation, shear, large displacement or cohesive growth. Critical load is an initiation estimate from supplied GIc.</w:t>
      </w:r>
    </w:p>
    <w:p>
      <w:pPr>
        <w:keepNext/>
      </w:pPr>
      <w:r>
        <w:rPr>
          <w:b/>
          <w:i w:val="0"/>
        </w:rPr>
        <w:t>Formulations and study choices</w:t>
      </w:r>
    </w:p>
    <w:p>
      <w:pPr>
        <w:pStyle w:val="ListBullet"/>
      </w:pPr>
      <w:r>
        <w:rPr>
          <w:b w:val="0"/>
          <w:i w:val="0"/>
        </w:rPr>
        <w:t>Virtual test · DCB beam compliance</w:t>
      </w:r>
    </w:p>
    <w:p>
      <w:hyperlink r:id="rId37">
        <w:r>
          <w:rPr>
            <w:color w:val="176EA4"/>
          </w:rPr>
          <w:t>∑ Theory &amp; assumptions</w:t>
        </w:r>
      </w:hyperlink>
      <w:r>
        <w:t xml:space="preserve"> </w:t>
      </w:r>
    </w:p>
    <w:p>
      <w:hyperlink r:id="rId38">
        <w:r>
          <w:rPr>
            <w:color w:val="176EA4"/>
          </w:rPr>
          <w:t>Guided exercise &amp; two-layer workflow </w:t>
        </w:r>
      </w:hyperlink>
      <w:r>
        <w:t xml:space="preserve"> </w:t>
      </w:r>
    </w:p>
    <w:p>
      <w:pPr>
        <w:keepNext/>
      </w:pPr>
      <w:r>
        <w:rPr>
          <w:b/>
          <w:i w:val="0"/>
        </w:rPr>
        <w:t xml:space="preserve">∑ </w:t>
      </w:r>
      <w:r>
        <w:rPr>
          <w:b/>
          <w:i w:val="0"/>
        </w:rPr>
        <w:t xml:space="preserve"> </w:t>
      </w:r>
      <w:r>
        <w:rPr>
          <w:b/>
          <w:i w:val="0"/>
        </w:rPr>
        <w:t>D7905 · ENF sliding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r>
        <w:rPr>
          <w:b w:val="0"/>
          <w:i w:val="0"/>
        </w:rPr>
        <w:t>Ideal equal-arm, homogeneous 0° ENF beam; support span is twice the half-span. Crack must be shorter than the half-span. No shear/root correction or unstable crack growth. GIIc is supplied, not fitted automatically.</w:t>
      </w:r>
    </w:p>
    <w:p>
      <w:pPr>
        <w:keepNext/>
      </w:pPr>
      <w:r>
        <w:rPr>
          <w:b/>
          <w:i w:val="0"/>
        </w:rPr>
        <w:t>Formulations and study choices</w:t>
      </w:r>
    </w:p>
    <w:p>
      <w:pPr>
        <w:pStyle w:val="ListBullet"/>
      </w:pPr>
      <w:r>
        <w:rPr>
          <w:b w:val="0"/>
          <w:i w:val="0"/>
        </w:rPr>
        <w:t>Virtual test · ENF beam compliance</w:t>
      </w:r>
    </w:p>
    <w:p>
      <w:hyperlink r:id="rId39">
        <w:r>
          <w:rPr>
            <w:color w:val="176EA4"/>
          </w:rPr>
          <w:t>∑ Theory &amp; assumptions</w:t>
        </w:r>
      </w:hyperlink>
      <w:r>
        <w:t xml:space="preserve"> </w:t>
      </w:r>
    </w:p>
    <w:p>
      <w:hyperlink r:id="rId40">
        <w:r>
          <w:rPr>
            <w:color w:val="176EA4"/>
          </w:rPr>
          <w:t>Guided exercise &amp; two-layer workflow </w:t>
        </w:r>
      </w:hyperlink>
      <w:r>
        <w:t xml:space="preserve"> </w:t>
      </w:r>
    </w:p>
    <w:p>
      <w:pPr>
        <w:keepNext/>
      </w:pPr>
      <w:r>
        <w:rPr>
          <w:b/>
          <w:i w:val="0"/>
        </w:rPr>
        <w:t xml:space="preserve">∑ </w:t>
      </w:r>
      <w:r>
        <w:rPr>
          <w:b/>
          <w:i w:val="0"/>
        </w:rPr>
        <w:t xml:space="preserve"> </w:t>
      </w:r>
      <w:r>
        <w:rPr>
          <w:b/>
          <w:i w:val="0"/>
        </w:rPr>
        <w:t>D6671 · Mixed-mode fracture envelope</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r>
        <w:rPr>
          <w:b w:val="0"/>
          <w:i w:val="0"/>
        </w:rPr>
        <w:t>Benzeggagh–Kenane envelope from calibrated GIc, GIIc and exponent. Supplied GI/GII are energy-release rates from a separate test reduction or analysis. This does not resolve the MMB lever fixture or propagate a crack.</w:t>
      </w:r>
    </w:p>
    <w:p>
      <w:pPr>
        <w:keepNext/>
      </w:pPr>
      <w:r>
        <w:rPr>
          <w:b/>
          <w:i w:val="0"/>
        </w:rPr>
        <w:t>Formulations and study choices</w:t>
      </w:r>
    </w:p>
    <w:p>
      <w:pPr>
        <w:pStyle w:val="ListBullet"/>
      </w:pPr>
      <w:r>
        <w:rPr>
          <w:b w:val="0"/>
          <w:i w:val="0"/>
        </w:rPr>
        <w:t>Virtual test · BK mixed-mode envelope</w:t>
      </w:r>
    </w:p>
    <w:p>
      <w:hyperlink r:id="rId41">
        <w:r>
          <w:rPr>
            <w:color w:val="176EA4"/>
          </w:rPr>
          <w:t>∑ Theory &amp; assumptions</w:t>
        </w:r>
      </w:hyperlink>
      <w:r>
        <w:t xml:space="preserve"> </w:t>
      </w:r>
    </w:p>
    <w:p>
      <w:hyperlink r:id="rId42">
        <w:r>
          <w:rPr>
            <w:color w:val="176EA4"/>
          </w:rPr>
          <w:t>Guided exercise &amp; two-layer workflow </w:t>
        </w:r>
      </w:hyperlink>
      <w:r>
        <w:t xml:space="preserve"> </w:t>
      </w:r>
    </w:p>
    <w:p>
      <w:pPr>
        <w:keepNext/>
      </w:pPr>
      <w:r>
        <w:rPr>
          <w:b/>
          <w:i w:val="0"/>
        </w:rPr>
        <w:t xml:space="preserve">∑ </w:t>
      </w:r>
      <w:r>
        <w:rPr>
          <w:b/>
          <w:i w:val="0"/>
        </w:rPr>
        <w:t xml:space="preserve"> </w:t>
      </w:r>
      <w:r>
        <w:rPr>
          <w:b/>
          <w:i w:val="0"/>
        </w:rPr>
        <w:t>D5229 · Moisture uptake calibration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keepNext/>
      </w:pPr>
      <w:r>
        <w:rPr>
          <w:b/>
          <w:i w:val="0"/>
        </w:rPr>
        <w:t>Formulations and study choices</w:t>
      </w:r>
    </w:p>
    <w:p>
      <w:pPr>
        <w:pStyle w:val="ListBullet"/>
      </w:pPr>
      <w:r>
        <w:rPr>
          <w:b w:val="0"/>
          <w:i w:val="0"/>
        </w:rPr>
        <w:t>Virtual test · Fickian uptake calibration</w:t>
      </w:r>
    </w:p>
    <w:p>
      <w:hyperlink r:id="rId43">
        <w:r>
          <w:rPr>
            <w:color w:val="176EA4"/>
          </w:rPr>
          <w:t>∑ Theory &amp; assumptions</w:t>
        </w:r>
      </w:hyperlink>
      <w:r>
        <w:t xml:space="preserve"> </w:t>
      </w:r>
    </w:p>
    <w:p>
      <w:hyperlink r:id="rId44">
        <w:r>
          <w:rPr>
            <w:color w:val="176EA4"/>
          </w:rPr>
          <w:t>Guided exercise &amp; two-layer workflow </w:t>
        </w:r>
      </w:hyperlink>
      <w:r>
        <w:t xml:space="preserve"> </w:t>
      </w:r>
    </w:p>
    <w:p>
      <w:pPr>
        <w:keepNext/>
      </w:pPr>
      <w:r>
        <w:rPr>
          <w:b/>
          <w:i w:val="0"/>
        </w:rPr>
        <w:t xml:space="preserve">∑ </w:t>
      </w:r>
      <w:r>
        <w:rPr>
          <w:b/>
          <w:i w:val="0"/>
        </w:rPr>
        <w:t xml:space="preserve"> </w:t>
      </w:r>
      <w:r>
        <w:rPr>
          <w:b/>
          <w:i w:val="0"/>
        </w:rPr>
        <w:t>D5961 · Bearing / bypass screening</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keepNext/>
      </w:pPr>
      <w:r>
        <w:rPr>
          <w:b/>
          <w:i w:val="0"/>
        </w:rPr>
        <w:t>Formulations and study choices</w:t>
      </w:r>
    </w:p>
    <w:p>
      <w:pPr>
        <w:pStyle w:val="ListBullet"/>
      </w:pPr>
      <w:r>
        <w:rPr>
          <w:b w:val="0"/>
          <w:i w:val="0"/>
        </w:rPr>
        <w:t>Virtual test · bearing bypass screening</w:t>
      </w:r>
    </w:p>
    <w:p>
      <w:hyperlink r:id="rId45">
        <w:r>
          <w:rPr>
            <w:color w:val="176EA4"/>
          </w:rPr>
          <w:t>∑ Theory &amp; assumptions</w:t>
        </w:r>
      </w:hyperlink>
      <w:r>
        <w:t xml:space="preserve"> </w:t>
      </w:r>
    </w:p>
    <w:p>
      <w:hyperlink r:id="rId46">
        <w:r>
          <w:rPr>
            <w:color w:val="176EA4"/>
          </w:rPr>
          <w:t>Guided exercise &amp; two-layer workflow </w:t>
        </w:r>
      </w:hyperlink>
      <w:r>
        <w:t xml:space="preserve"> </w:t>
      </w:r>
    </w:p>
    <w:p>
      <w:pPr>
        <w:keepNext/>
      </w:pPr>
      <w:r>
        <w:rPr>
          <w:b/>
          <w:i w:val="0"/>
        </w:rPr>
        <w:t xml:space="preserve">∑ </w:t>
      </w:r>
      <w:r>
        <w:rPr>
          <w:b/>
          <w:i w:val="0"/>
        </w:rPr>
        <w:t xml:space="preserve"> </w:t>
      </w:r>
      <w:r>
        <w:rPr>
          <w:b/>
          <w:i w:val="0"/>
        </w:rPr>
        <w:t>D6484 · Open-hole compression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keepNext/>
      </w:pPr>
      <w:r>
        <w:rPr>
          <w:b/>
          <w:i w:val="0"/>
        </w:rPr>
        <w:t>Formulations and study choices</w:t>
      </w:r>
    </w:p>
    <w:p>
      <w:pPr>
        <w:pStyle w:val="ListBullet"/>
      </w:pPr>
      <w:r>
        <w:rPr>
          <w:b w:val="0"/>
          <w:i w:val="0"/>
        </w:rPr>
        <w:t>Virtual test · measured open-hole compression</w:t>
      </w:r>
    </w:p>
    <w:p>
      <w:hyperlink r:id="rId47">
        <w:r>
          <w:rPr>
            <w:color w:val="176EA4"/>
          </w:rPr>
          <w:t>∑ Theory &amp; assumptions</w:t>
        </w:r>
      </w:hyperlink>
      <w:r>
        <w:t xml:space="preserve"> </w:t>
      </w:r>
    </w:p>
    <w:p>
      <w:hyperlink r:id="rId48">
        <w:r>
          <w:rPr>
            <w:color w:val="176EA4"/>
          </w:rPr>
          <w:t>Guided exercise &amp; two-layer workflow </w:t>
        </w:r>
      </w:hyperlink>
      <w:r>
        <w:t xml:space="preserve"> </w:t>
      </w:r>
    </w:p>
    <w:p>
      <w:pPr>
        <w:keepNext/>
      </w:pPr>
      <w:r>
        <w:rPr>
          <w:b/>
          <w:i w:val="0"/>
        </w:rPr>
        <w:t xml:space="preserve">∑ </w:t>
      </w:r>
      <w:r>
        <w:rPr>
          <w:b/>
          <w:i w:val="0"/>
        </w:rPr>
        <w:t xml:space="preserve"> </w:t>
      </w:r>
      <w:r>
        <w:rPr>
          <w:b/>
          <w:i w:val="0"/>
        </w:rPr>
        <w:t>D6742 · Filled-hole comparison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keepNext/>
      </w:pPr>
      <w:r>
        <w:rPr>
          <w:b/>
          <w:i w:val="0"/>
        </w:rPr>
        <w:t>Formulations and study choices</w:t>
      </w:r>
    </w:p>
    <w:p>
      <w:pPr>
        <w:pStyle w:val="ListBullet"/>
      </w:pPr>
      <w:r>
        <w:rPr>
          <w:b w:val="0"/>
          <w:i w:val="0"/>
        </w:rPr>
        <w:t>Virtual test · measured filled-hole comparison</w:t>
      </w:r>
    </w:p>
    <w:p>
      <w:hyperlink r:id="rId49">
        <w:r>
          <w:rPr>
            <w:color w:val="176EA4"/>
          </w:rPr>
          <w:t>∑ Theory &amp; assumptions</w:t>
        </w:r>
      </w:hyperlink>
      <w:r>
        <w:t xml:space="preserve"> </w:t>
      </w:r>
    </w:p>
    <w:p>
      <w:hyperlink r:id="rId50">
        <w:r>
          <w:rPr>
            <w:color w:val="176EA4"/>
          </w:rPr>
          <w:t>Guided exercise &amp; two-layer workflow </w:t>
        </w:r>
      </w:hyperlink>
      <w:r>
        <w:t xml:space="preserve"> </w:t>
      </w:r>
    </w:p>
    <w:p>
      <w:pPr>
        <w:keepNext/>
      </w:pPr>
      <w:r>
        <w:rPr>
          <w:b/>
          <w:i w:val="0"/>
        </w:rPr>
        <w:t xml:space="preserve">∑ </w:t>
      </w:r>
      <w:r>
        <w:rPr>
          <w:b/>
          <w:i w:val="0"/>
        </w:rPr>
        <w:t xml:space="preserve"> </w:t>
      </w:r>
      <w:r>
        <w:rPr>
          <w:b/>
          <w:i w:val="0"/>
        </w:rPr>
        <w:t>D7136 / D7137 · Impact &amp; CAI assessment</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keepNext/>
      </w:pPr>
      <w:r>
        <w:rPr>
          <w:b/>
          <w:i w:val="0"/>
        </w:rPr>
        <w:t>Formulations and study choices</w:t>
      </w:r>
    </w:p>
    <w:p>
      <w:pPr>
        <w:pStyle w:val="ListBullet"/>
      </w:pPr>
      <w:r>
        <w:rPr>
          <w:b w:val="0"/>
          <w:i w:val="0"/>
        </w:rPr>
        <w:t>Virtual test · measured impact and CAI</w:t>
      </w:r>
    </w:p>
    <w:p>
      <w:hyperlink r:id="rId51">
        <w:r>
          <w:rPr>
            <w:color w:val="176EA4"/>
          </w:rPr>
          <w:t>∑ Theory &amp; assumptions</w:t>
        </w:r>
      </w:hyperlink>
      <w:r>
        <w:t xml:space="preserve"> </w:t>
      </w:r>
    </w:p>
    <w:p>
      <w:hyperlink r:id="rId52">
        <w:r>
          <w:rPr>
            <w:color w:val="176EA4"/>
          </w:rPr>
          <w:t>Guided exercise &amp; two-layer workflow </w:t>
        </w:r>
      </w:hyperlink>
      <w:r>
        <w:t xml:space="preserve"> </w:t>
      </w:r>
    </w:p>
    <w:p>
      <w:pPr>
        <w:keepNext/>
      </w:pPr>
      <w:r>
        <w:rPr>
          <w:b/>
          <w:i w:val="0"/>
        </w:rPr>
        <w:t xml:space="preserve">∑ </w:t>
      </w:r>
      <w:r>
        <w:rPr>
          <w:b/>
          <w:i w:val="0"/>
        </w:rPr>
        <w:t xml:space="preserve"> </w:t>
      </w:r>
      <w:r>
        <w:rPr>
          <w:b/>
          <w:i w:val="0"/>
        </w:rPr>
        <w:t>Open-hole strength</w:t>
      </w:r>
    </w:p>
    <w:p>
      <w:pPr/>
      <w:r>
        <w:rPr>
          <w:b w:val="0"/>
          <w:i w:val="0"/>
        </w:rPr>
        <w:t>Structural models → Laminate mechanics → Failure criteria → Open-hole strength</w:t>
      </w:r>
    </w:p>
    <w:p>
      <w:r>
        <w:rPr>
          <w:b w:val="0"/>
          <w:i w:val="0"/>
        </w:rPr>
        <w:t>Inputs</w:t>
      </w:r>
      <w:r>
        <w:t xml:space="preserve"> </w:t>
      </w:r>
      <w:r>
        <w:rPr>
          <w:b w:val="0"/>
          <w:i w:val="0"/>
        </w:rPr>
        <w:t>Specially orthotropic laminate, hole radius, unnotched strength and calibrated distances</w:t>
      </w:r>
      <w:r>
        <w:t xml:space="preserve"> </w:t>
      </w:r>
      <w:r>
        <w:rPr>
          <w:b w:val="0"/>
          <w:i w:val="0"/>
        </w:rPr>
        <w:t>Results / handoff</w:t>
      </w:r>
      <w:r>
        <w:t xml:space="preserve"> </w:t>
      </w:r>
      <w:r>
        <w:rPr>
          <w:b w:val="0"/>
          <w:i w:val="0"/>
        </w:rPr>
        <w:t>Point / average stress strength screening and radial stress profile</w:t>
      </w:r>
    </w:p>
    <w:p>
      <w:pPr/>
      <w:r>
        <w:rPr>
          <w:b w:val="0"/>
          <w:i w:val="0"/>
        </w:rPr>
        <w:t>Infinite-width, specially orthotropic tension screening. Point and average stress distances must be calibrated independently for this laminate. Not compression, bearing or a joint allowable.</w:t>
      </w:r>
    </w:p>
    <w:p>
      <w:pPr>
        <w:keepNext/>
      </w:pPr>
      <w:r>
        <w:rPr>
          <w:b/>
          <w:i w:val="0"/>
        </w:rPr>
        <w:t>Formulations and study choices</w:t>
      </w:r>
    </w:p>
    <w:p>
      <w:pPr>
        <w:pStyle w:val="ListBullet"/>
      </w:pPr>
      <w:r>
        <w:rPr>
          <w:b w:val="0"/>
          <w:i w:val="0"/>
        </w:rPr>
        <w:t>Whitney–Nuismer open-hole tension</w:t>
      </w:r>
    </w:p>
    <w:p>
      <w:hyperlink r:id="rId53">
        <w:r>
          <w:rPr>
            <w:color w:val="176EA4"/>
          </w:rPr>
          <w:t>∑ Theory &amp; assumptions</w:t>
        </w:r>
      </w:hyperlink>
      <w:r>
        <w:t xml:space="preserve"> </w:t>
      </w:r>
    </w:p>
    <w:p>
      <w:hyperlink r:id="rId54">
        <w:r>
          <w:rPr>
            <w:color w:val="176EA4"/>
          </w:rPr>
          <w:t>Guided exercise &amp; two-layer workflow </w:t>
        </w:r>
      </w:hyperlink>
      <w:r>
        <w:t xml:space="preserve"> </w:t>
      </w:r>
    </w:p>
    <w:p>
      <w:pPr>
        <w:keepNext/>
      </w:pPr>
      <w:r>
        <w:rPr>
          <w:b/>
          <w:i w:val="0"/>
        </w:rPr>
        <w:t xml:space="preserve">∑ </w:t>
      </w:r>
      <w:r>
        <w:rPr>
          <w:b/>
          <w:i w:val="0"/>
        </w:rPr>
        <w:t xml:space="preserve"> </w:t>
      </w:r>
      <w:r>
        <w:rPr>
          <w:b/>
          <w:i w:val="0"/>
        </w:rPr>
        <w:t>Creep &amp; stress relaxation</w:t>
      </w:r>
    </w:p>
    <w:p>
      <w:pPr/>
      <w:r>
        <w:rPr>
          <w:b w:val="0"/>
          <w:i w:val="0"/>
        </w:rPr>
        <w:t>Structural models → Laminate mechanics → Creep &amp; stress relaxation</w:t>
      </w:r>
    </w:p>
    <w:p>
      <w:r>
        <w:rPr>
          <w:b w:val="0"/>
          <w:i w:val="0"/>
        </w:rPr>
        <w:t>Inputs</w:t>
      </w:r>
      <w:r>
        <w:t xml:space="preserve"> </w:t>
      </w:r>
      <w:r>
        <w:rPr>
          <w:b w:val="0"/>
          <w:i w:val="0"/>
        </w:rPr>
        <w:t>Laminate Ex, Prony fractions / times and held stress or strain at calibration temperature</w:t>
      </w:r>
      <w:r>
        <w:t xml:space="preserve"> </w:t>
      </w:r>
      <w:r>
        <w:rPr>
          <w:b w:val="0"/>
          <w:i w:val="0"/>
        </w:rPr>
        <w:t>Results / handoff</w:t>
      </w:r>
      <w:r>
        <w:t xml:space="preserve"> </w:t>
      </w:r>
      <w:r>
        <w:rPr>
          <w:b w:val="0"/>
          <w:i w:val="0"/>
        </w:rPr>
        <w:t>Separate axial creep and relaxation curves with time-refinement safeguards</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keepNext/>
      </w:pPr>
      <w:r>
        <w:rPr>
          <w:b/>
          <w:i w:val="0"/>
        </w:rPr>
        <w:t>Formulations and study choices</w:t>
      </w:r>
    </w:p>
    <w:p>
      <w:pPr>
        <w:pStyle w:val="ListBullet"/>
      </w:pPr>
      <w:r>
        <w:rPr>
          <w:b w:val="0"/>
          <w:i w:val="0"/>
        </w:rPr>
        <w:t>Generalized Maxwell · axial Prony</w:t>
      </w:r>
    </w:p>
    <w:p>
      <w:hyperlink r:id="rId55">
        <w:r>
          <w:rPr>
            <w:color w:val="176EA4"/>
          </w:rPr>
          <w:t>∑ Theory &amp; assumptions</w:t>
        </w:r>
      </w:hyperlink>
      <w:r>
        <w:t xml:space="preserve"> </w:t>
      </w:r>
    </w:p>
    <w:p>
      <w:hyperlink r:id="rId56">
        <w:r>
          <w:rPr>
            <w:color w:val="176EA4"/>
          </w:rPr>
          <w:t>Guided exercise &amp; two-layer workflow </w:t>
        </w:r>
      </w:hyperlink>
      <w:r>
        <w:t xml:space="preserve"> </w:t>
      </w:r>
    </w:p>
    <w:p>
      <w:pPr>
        <w:keepNext/>
      </w:pPr>
      <w:r>
        <w:rPr>
          <w:b/>
          <w:i w:val="0"/>
        </w:rPr>
        <w:t xml:space="preserve">∑ </w:t>
      </w:r>
      <w:r>
        <w:rPr>
          <w:b/>
          <w:i w:val="0"/>
        </w:rPr>
        <w:t xml:space="preserve"> </w:t>
      </w:r>
      <w:r>
        <w:rPr>
          <w:b/>
          <w:i w:val="0"/>
        </w:rPr>
        <w:t>Analytical bonded joint</w:t>
      </w:r>
    </w:p>
    <w:p>
      <w:pPr/>
      <w:r>
        <w:rPr>
          <w:b w:val="0"/>
          <w:i w:val="0"/>
        </w:rPr>
        <w:t>Structural models → Layerwise sections &amp; joints → Analytical bonded joint</w:t>
      </w:r>
    </w:p>
    <w:p>
      <w:r>
        <w:rPr>
          <w:b w:val="0"/>
          <w:i w:val="0"/>
        </w:rPr>
        <w:t>Inputs</w:t>
      </w:r>
      <w:r>
        <w:t xml:space="preserve"> </w:t>
      </w:r>
      <w:r>
        <w:rPr>
          <w:b w:val="0"/>
          <w:i w:val="0"/>
        </w:rPr>
        <w:t>Identical equivalent-elastic adherends, adhesive, overlap, width and tensile force</w:t>
      </w:r>
      <w:r>
        <w:t xml:space="preserve"> </w:t>
      </w:r>
      <w:r>
        <w:rPr>
          <w:b w:val="0"/>
          <w:i w:val="0"/>
        </w:rPr>
        <w:t>Results / handoff</w:t>
      </w:r>
      <w:r>
        <w:t xml:space="preserve"> </w:t>
      </w:r>
      <w:r>
        <w:rPr>
          <w:b w:val="0"/>
          <w:i w:val="0"/>
        </w:rPr>
        <w:t>Volkersen shear and Goland–Reissner shear / peel; no debond growth</w:t>
      </w:r>
    </w:p>
    <w:p>
      <w:pPr/>
      <w:r>
        <w:rPr>
          <w:b w:val="0"/>
          <w:i w:val="0"/>
        </w:rPr>
        <w:t>Identical equivalent-elastic adherends, long free arms and a thin elastic adhesive. Compare shear-only Volkersen with eccentric single-lap shear and peel. Not a debonding, plasticity or strength calculation.</w:t>
      </w:r>
    </w:p>
    <w:p>
      <w:pPr>
        <w:keepNext/>
      </w:pPr>
      <w:r>
        <w:rPr>
          <w:b/>
          <w:i w:val="0"/>
        </w:rPr>
        <w:t>Formulations and study choices</w:t>
      </w:r>
    </w:p>
    <w:p>
      <w:pPr>
        <w:pStyle w:val="ListBullet"/>
      </w:pPr>
      <w:r>
        <w:rPr>
          <w:b w:val="0"/>
          <w:i w:val="0"/>
        </w:rPr>
        <w:t>Volkersen &amp; Goland–Reissner joint</w:t>
      </w:r>
    </w:p>
    <w:p>
      <w:hyperlink r:id="rId57">
        <w:r>
          <w:rPr>
            <w:color w:val="176EA4"/>
          </w:rPr>
          <w:t>∑ Theory &amp; assumptions</w:t>
        </w:r>
      </w:hyperlink>
      <w:r>
        <w:t xml:space="preserve"> </w:t>
      </w:r>
    </w:p>
    <w:p>
      <w:hyperlink r:id="rId58">
        <w:r>
          <w:rPr>
            <w:color w:val="176EA4"/>
          </w:rPr>
          <w:t>Guided exercise &amp; two-layer workflow </w:t>
        </w:r>
      </w:hyperlink>
      <w:r>
        <w:t xml:space="preserve"> </w:t>
      </w:r>
    </w:p>
    <w:p>
      <w:pPr>
        <w:keepNext/>
      </w:pPr>
      <w:r>
        <w:rPr>
          <w:b/>
          <w:i w:val="0"/>
        </w:rPr>
        <w:t xml:space="preserve">∑ </w:t>
      </w:r>
      <w:r>
        <w:rPr>
          <w:b/>
          <w:i w:val="0"/>
        </w:rPr>
        <w:t xml:space="preserve"> </w:t>
      </w:r>
      <w:r>
        <w:rPr>
          <w:b/>
          <w:i w:val="0"/>
        </w:rPr>
        <w:t>LaRC04 failure initiation</w:t>
      </w:r>
    </w:p>
    <w:p>
      <w:pPr/>
      <w:r>
        <w:rPr>
          <w:b w:val="0"/>
          <w:i w:val="0"/>
        </w:rPr>
        <w:t>Structural models → Laminate mechanics → Failure criteria → LaRC04</w:t>
      </w:r>
    </w:p>
    <w:p>
      <w:r>
        <w:rPr>
          <w:b w:val="0"/>
          <w:i w:val="0"/>
        </w:rPr>
        <w:t>Inputs</w:t>
      </w:r>
      <w:r>
        <w:t xml:space="preserve"> </w:t>
      </w:r>
      <w:r>
        <w:rPr>
          <w:b w:val="0"/>
          <w:i w:val="0"/>
        </w:rPr>
        <w:t>Laminate, membrane / bending resultants and calibrated effective ply strengths</w:t>
      </w:r>
      <w:r>
        <w:t xml:space="preserve"> </w:t>
      </w:r>
      <w:r>
        <w:rPr>
          <w:b w:val="0"/>
          <w:i w:val="0"/>
        </w:rPr>
        <w:t>Results / handoff</w:t>
      </w:r>
      <w:r>
        <w:t xml:space="preserve"> </w:t>
      </w:r>
      <w:r>
        <w:rPr>
          <w:b w:val="0"/>
          <w:i w:val="0"/>
        </w:rPr>
        <w:t>Linear-shear LaRC04 initiation indices at ply faces; no progressive degradation</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keepNext/>
      </w:pPr>
      <w:r>
        <w:rPr>
          <w:b/>
          <w:i w:val="0"/>
        </w:rPr>
        <w:t>Formulations and study choices</w:t>
      </w:r>
    </w:p>
    <w:p>
      <w:pPr>
        <w:pStyle w:val="ListBullet"/>
      </w:pPr>
      <w:r>
        <w:rPr>
          <w:b w:val="0"/>
          <w:i w:val="0"/>
        </w:rPr>
        <w:t>LaRC04 · linear shear</w:t>
      </w:r>
    </w:p>
    <w:p>
      <w:hyperlink r:id="rId59">
        <w:r>
          <w:rPr>
            <w:color w:val="176EA4"/>
          </w:rPr>
          <w:t>∑ Theory &amp; assumptions</w:t>
        </w:r>
      </w:hyperlink>
      <w:r>
        <w:t xml:space="preserve"> </w:t>
      </w:r>
    </w:p>
    <w:p>
      <w:hyperlink r:id="rId60">
        <w:r>
          <w:rPr>
            <w:color w:val="176EA4"/>
          </w:rPr>
          <w:t>Guided exercise &amp; two-layer workflow </w:t>
        </w:r>
      </w:hyperlink>
      <w:r>
        <w:t xml:space="preserve"> </w:t>
      </w:r>
    </w:p>
    <w:p>
      <w:pPr>
        <w:keepNext/>
      </w:pPr>
      <w:r>
        <w:rPr>
          <w:b/>
          <w:i w:val="0"/>
        </w:rPr>
        <w:t xml:space="preserve">∑ </w:t>
      </w:r>
      <w:r>
        <w:rPr>
          <w:b/>
          <w:i w:val="0"/>
        </w:rPr>
        <w:t xml:space="preserve"> </w:t>
      </w:r>
      <w:r>
        <w:rPr>
          <w:b/>
          <w:i w:val="0"/>
        </w:rPr>
        <w:t>Tool-release shape</w:t>
      </w:r>
    </w:p>
    <w:p>
      <w:pPr/>
      <w:r>
        <w:rPr>
          <w:b w:val="0"/>
          <w:i w:val="0"/>
        </w:rPr>
        <w:t>Structural models → Tool-release shape</w:t>
      </w:r>
    </w:p>
    <w:p>
      <w:r>
        <w:rPr>
          <w:b w:val="0"/>
          <w:i w:val="0"/>
        </w:rPr>
        <w:t>Inputs</w:t>
      </w:r>
      <w:r>
        <w:t xml:space="preserve"> </w:t>
      </w:r>
      <w:r>
        <w:rPr>
          <w:b w:val="0"/>
          <w:i w:val="0"/>
        </w:rPr>
        <w:t>Laminate and prescribed temperatures, CTE and effective post-gel shrinkage</w:t>
      </w:r>
      <w:r>
        <w:t xml:space="preserve"> </w:t>
      </w:r>
      <w:r>
        <w:rPr>
          <w:b w:val="0"/>
          <w:i w:val="0"/>
        </w:rPr>
        <w:t>Results / handoff</w:t>
      </w:r>
      <w:r>
        <w:t xml:space="preserve"> </w:t>
      </w:r>
      <w:r>
        <w:rPr>
          <w:b w:val="0"/>
          <w:i w:val="0"/>
        </w:rPr>
        <w:t>Free-release CLT curvature and separate corner spring-in estimate; not an automatic process-history handoff</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keepNext/>
      </w:pPr>
      <w:r>
        <w:rPr>
          <w:b/>
          <w:i w:val="0"/>
        </w:rPr>
        <w:t>Formulations and study choices</w:t>
      </w:r>
    </w:p>
    <w:p>
      <w:pPr>
        <w:pStyle w:val="ListBullet"/>
      </w:pPr>
      <w:r>
        <w:rPr>
          <w:b w:val="0"/>
          <w:i w:val="0"/>
        </w:rPr>
        <w:t>Free-release eigenstrain &amp; spring-in</w:t>
      </w:r>
    </w:p>
    <w:p>
      <w:hyperlink r:id="rId61">
        <w:r>
          <w:rPr>
            <w:color w:val="176EA4"/>
          </w:rPr>
          <w:t>∑ Theory &amp; assumptions</w:t>
        </w:r>
      </w:hyperlink>
      <w:r>
        <w:t xml:space="preserve"> </w:t>
      </w:r>
    </w:p>
    <w:p>
      <w:hyperlink r:id="rId62">
        <w:r>
          <w:rPr>
            <w:color w:val="176EA4"/>
          </w:rPr>
          <w:t>Guided exercise &amp; two-layer workflow </w:t>
        </w:r>
      </w:hyperlink>
      <w:r>
        <w:t xml:space="preserve"> </w:t>
      </w:r>
    </w:p>
    <w:p>
      <w:pPr>
        <w:keepNext/>
      </w:pPr>
      <w:r>
        <w:rPr>
          <w:b/>
          <w:i w:val="0"/>
        </w:rPr>
        <w:t xml:space="preserve">∑ </w:t>
      </w:r>
      <w:r>
        <w:rPr>
          <w:b/>
          <w:i w:val="0"/>
        </w:rPr>
        <w:t xml:space="preserve"> </w:t>
      </w:r>
      <w:r>
        <w:rPr>
          <w:b/>
          <w:i w:val="0"/>
        </w:rPr>
        <w:t>Fatigue residual properties</w:t>
      </w:r>
    </w:p>
    <w:p>
      <w:pPr/>
      <w:r>
        <w:rPr>
          <w:b w:val="0"/>
          <w:i w:val="0"/>
        </w:rPr>
        <w:t>Structural models → Laminate mechanics → Fatigue → Residual properties</w:t>
      </w:r>
    </w:p>
    <w:p>
      <w:r>
        <w:rPr>
          <w:b w:val="0"/>
          <w:i w:val="0"/>
        </w:rPr>
        <w:t>Inputs</w:t>
      </w:r>
      <w:r>
        <w:t xml:space="preserve"> </w:t>
      </w:r>
      <w:r>
        <w:rPr>
          <w:b w:val="0"/>
          <w:i w:val="0"/>
        </w:rPr>
        <w:t>Modulus, independently fitted stiffness / strength retention laws, life and elapsed cycles</w:t>
      </w:r>
      <w:r>
        <w:t xml:space="preserve"> </w:t>
      </w:r>
      <w:r>
        <w:rPr>
          <w:b w:val="0"/>
          <w:i w:val="0"/>
        </w:rPr>
        <w:t>Results / handoff</w:t>
      </w:r>
      <w:r>
        <w:t xml:space="preserve"> </w:t>
      </w:r>
      <w:r>
        <w:rPr>
          <w:b w:val="0"/>
          <w:i w:val="0"/>
        </w:rPr>
        <w:t>Residual-property curves for the specified constant-amplitude calibration; saved laminate is unchanged</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pPr>
        <w:keepNext/>
      </w:pPr>
      <w:r>
        <w:rPr>
          <w:b/>
          <w:i w:val="0"/>
        </w:rPr>
        <w:t>Formulations and study choices</w:t>
      </w:r>
    </w:p>
    <w:p>
      <w:pPr>
        <w:pStyle w:val="ListBullet"/>
      </w:pPr>
      <w:r>
        <w:rPr>
          <w:b w:val="0"/>
          <w:i w:val="0"/>
        </w:rPr>
        <w:t>Calibrated residual-property fatigue</w:t>
      </w:r>
    </w:p>
    <w:p>
      <w:hyperlink r:id="rId63">
        <w:r>
          <w:rPr>
            <w:color w:val="176EA4"/>
          </w:rPr>
          <w:t>∑ Theory &amp; assumptions</w:t>
        </w:r>
      </w:hyperlink>
      <w:r>
        <w:t xml:space="preserve"> </w:t>
      </w:r>
    </w:p>
    <w:p>
      <w:hyperlink r:id="rId64">
        <w:r>
          <w:rPr>
            <w:color w:val="176EA4"/>
          </w:rPr>
          <w:t>Guided exercise &amp; two-layer workflow </w:t>
        </w:r>
      </w:hyperlink>
      <w:r>
        <w:t xml:space="preserve"> </w:t>
      </w:r>
    </w:p>
    <w:p>
      <w:pPr>
        <w:keepNext/>
      </w:pPr>
      <w:r>
        <w:rPr>
          <w:b/>
          <w:i w:val="0"/>
        </w:rPr>
        <w:t xml:space="preserve">∑ </w:t>
      </w:r>
      <w:r>
        <w:rPr>
          <w:b/>
          <w:i w:val="0"/>
        </w:rPr>
        <w:t xml:space="preserve"> </w:t>
      </w:r>
      <w:r>
        <w:rPr>
          <w:b/>
          <w:i w:val="0"/>
        </w:rPr>
        <w:t>Cylinder buckling</w:t>
      </w:r>
    </w:p>
    <w:p>
      <w:pPr/>
      <w:r>
        <w:rPr>
          <w:b w:val="0"/>
          <w:i w:val="0"/>
        </w:rPr>
        <w:t>Structural models → Cylinder models → Cylinder buckling</w:t>
      </w:r>
    </w:p>
    <w:p>
      <w:r>
        <w:rPr>
          <w:b w:val="0"/>
          <w:i w:val="0"/>
        </w:rPr>
        <w:t>Inputs</w:t>
      </w:r>
      <w:r>
        <w:t xml:space="preserve"> </w:t>
      </w:r>
      <w:r>
        <w:rPr>
          <w:b w:val="0"/>
          <w:i w:val="0"/>
        </w:rPr>
        <w:t>Thin specially orthotropic shell, radius, length, axial compression and prescribed knockdown</w:t>
      </w:r>
      <w:r>
        <w:t xml:space="preserve"> </w:t>
      </w:r>
      <w:r>
        <w:rPr>
          <w:b w:val="0"/>
          <w:i w:val="0"/>
        </w:rPr>
        <w:t>Results / handoff</w:t>
      </w:r>
      <w:r>
        <w:t xml:space="preserve"> </w:t>
      </w:r>
      <w:r>
        <w:rPr>
          <w:b w:val="0"/>
          <w:i w:val="0"/>
        </w:rPr>
        <w:t>Ideal / knocked-down Donnell axial buckling and governing mode; no pressure or postbuckling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keepNext/>
      </w:pPr>
      <w:r>
        <w:rPr>
          <w:b/>
          <w:i w:val="0"/>
        </w:rPr>
        <w:t>Formulations and study choices</w:t>
      </w:r>
    </w:p>
    <w:p>
      <w:pPr>
        <w:pStyle w:val="ListBullet"/>
      </w:pPr>
      <w:r>
        <w:rPr>
          <w:b w:val="0"/>
          <w:i w:val="0"/>
        </w:rPr>
        <w:t>Donnell cylinder · axial buckling</w:t>
      </w:r>
    </w:p>
    <w:p>
      <w:hyperlink r:id="rId65">
        <w:r>
          <w:rPr>
            <w:color w:val="176EA4"/>
          </w:rPr>
          <w:t>∑ Theory &amp; assumptions</w:t>
        </w:r>
      </w:hyperlink>
      <w:r>
        <w:t xml:space="preserve"> </w:t>
      </w:r>
    </w:p>
    <w:p>
      <w:hyperlink r:id="rId66">
        <w:r>
          <w:rPr>
            <w:color w:val="176EA4"/>
          </w:rPr>
          <w:t>Guided exercise &amp; two-layer workflow </w:t>
        </w:r>
      </w:hyperlink>
      <w:r>
        <w:t xml:space="preserve"> </w:t>
      </w:r>
    </w:p>
    <w:p>
      <w:pPr>
        <w:keepNext/>
      </w:pPr>
      <w:r>
        <w:rPr>
          <w:b/>
          <w:i w:val="0"/>
        </w:rPr>
        <w:t xml:space="preserve">∑ </w:t>
      </w:r>
      <w:r>
        <w:rPr>
          <w:b/>
          <w:i w:val="0"/>
        </w:rPr>
        <w:t xml:space="preserve"> </w:t>
      </w:r>
      <w:r>
        <w:rPr>
          <w:b/>
          <w:i w:val="0"/>
        </w:rPr>
        <w:t>Uncertainty &amp; sensitivity</w:t>
      </w:r>
    </w:p>
    <w:p>
      <w:pPr/>
      <w:r>
        <w:rPr>
          <w:b w:val="0"/>
          <w:i w:val="0"/>
        </w:rPr>
        <w:t>Structural models → Uncertainty &amp; sensitivity</w:t>
      </w:r>
    </w:p>
    <w:p>
      <w:r>
        <w:rPr>
          <w:b w:val="0"/>
          <w:i w:val="0"/>
        </w:rPr>
        <w:t>Inputs</w:t>
      </w:r>
      <w:r>
        <w:t xml:space="preserve"> </w:t>
      </w:r>
      <w:r>
        <w:rPr>
          <w:b w:val="0"/>
          <w:i w:val="0"/>
        </w:rPr>
        <w:t>Laminate, bounded modulus / thickness / angle variations, seed and axial load</w:t>
      </w:r>
      <w:r>
        <w:t xml:space="preserve"> </w:t>
      </w:r>
      <w:r>
        <w:rPr>
          <w:b w:val="0"/>
          <w:i w:val="0"/>
        </w:rPr>
        <w:t>Results / handoff</w:t>
      </w:r>
      <w:r>
        <w:t xml:space="preserve"> </w:t>
      </w:r>
      <w:r>
        <w:rPr>
          <w:b w:val="0"/>
          <w:i w:val="0"/>
        </w:rPr>
        <w:t>ABD axial-strain percentiles and signed correlations; not certified reliability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keepNext/>
      </w:pPr>
      <w:r>
        <w:rPr>
          <w:b/>
          <w:i w:val="0"/>
        </w:rPr>
        <w:t>Formulations and study choices</w:t>
      </w:r>
    </w:p>
    <w:p>
      <w:pPr>
        <w:pStyle w:val="ListBullet"/>
      </w:pPr>
      <w:r>
        <w:rPr>
          <w:b w:val="0"/>
          <w:i w:val="0"/>
        </w:rPr>
        <w:t>Seeded laminate uncertainty</w:t>
      </w:r>
    </w:p>
    <w:p>
      <w:hyperlink r:id="rId67">
        <w:r>
          <w:rPr>
            <w:color w:val="176EA4"/>
          </w:rPr>
          <w:t>∑ Theory &amp; assumptions</w:t>
        </w:r>
      </w:hyperlink>
      <w:r>
        <w:t xml:space="preserve"> </w:t>
      </w:r>
    </w:p>
    <w:p>
      <w:hyperlink r:id="rId68">
        <w:r>
          <w:rPr>
            <w:color w:val="176EA4"/>
          </w:rPr>
          <w:t>Guided exercise &amp; two-layer workflow </w:t>
        </w:r>
      </w:hyperlink>
      <w:r>
        <w:t xml:space="preserve"> </w:t>
      </w:r>
    </w:p>
    <w:p>
      <w:pPr>
        <w:keepNext/>
      </w:pPr>
      <w:r>
        <w:rPr>
          <w:b/>
          <w:i w:val="0"/>
        </w:rPr>
        <w:t xml:space="preserve">∑ </w:t>
      </w:r>
      <w:r>
        <w:rPr>
          <w:b/>
          <w:i w:val="0"/>
        </w:rPr>
        <w:t xml:space="preserve"> </w:t>
      </w:r>
      <w:r>
        <w:rPr>
          <w:b/>
          <w:i w:val="0"/>
        </w:rPr>
        <w:t>Wiener series and parallel</w:t>
      </w:r>
    </w:p>
    <w:p>
      <w:pPr/>
      <w:r>
        <w:rPr>
          <w:b w:val="0"/>
          <w:i w:val="0"/>
        </w:rPr>
        <w:t>Models → Electromagnetics · RF → Wiener series and parallel</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Positive lossless dielectric bounds; complex directional estimates.</w:t>
      </w:r>
    </w:p>
    <w:p>
      <w:pPr>
        <w:keepNext/>
      </w:pPr>
      <w:r>
        <w:rPr>
          <w:b/>
          <w:i w:val="0"/>
        </w:rPr>
        <w:t>Formulations and study choices</w:t>
      </w:r>
    </w:p>
    <w:p>
      <w:pPr>
        <w:pStyle w:val="ListBullet"/>
      </w:pPr>
      <w:r>
        <w:rPr>
          <w:b w:val="0"/>
          <w:i w:val="0"/>
        </w:rPr>
        <w:t>EM · Wiener series and parallel</w:t>
      </w:r>
    </w:p>
    <w:p>
      <w:hyperlink r:id="rId69">
        <w:r>
          <w:rPr>
            <w:color w:val="176EA4"/>
          </w:rPr>
          <w:t>∑ Theory &amp; assumptions</w:t>
        </w:r>
      </w:hyperlink>
      <w:r>
        <w:t xml:space="preserve"> </w:t>
      </w:r>
    </w:p>
    <w:p>
      <w:hyperlink r:id="rId70">
        <w:r>
          <w:rPr>
            <w:color w:val="176EA4"/>
          </w:rPr>
          <w:t>Guided exercise &amp; two-layer workflow </w:t>
        </w:r>
      </w:hyperlink>
      <w:r>
        <w:t xml:space="preserve"> </w:t>
      </w:r>
    </w:p>
    <w:p>
      <w:pPr>
        <w:keepNext/>
      </w:pPr>
      <w:r>
        <w:rPr>
          <w:b/>
          <w:i w:val="0"/>
        </w:rPr>
        <w:t xml:space="preserve">∑ </w:t>
      </w:r>
      <w:r>
        <w:rPr>
          <w:b/>
          <w:i w:val="0"/>
        </w:rPr>
        <w:t xml:space="preserve"> </w:t>
      </w:r>
      <w:r>
        <w:rPr>
          <w:b/>
          <w:i w:val="0"/>
        </w:rPr>
        <w:t>Looyenga / Landau–Lifshitz–Looyenga</w:t>
      </w:r>
    </w:p>
    <w:p>
      <w:pPr/>
      <w:r>
        <w:rPr>
          <w:b w:val="0"/>
          <w:i w:val="0"/>
        </w:rPr>
        <w:t>Models → Electromagnetics · RF → Looyenga / Landau–Lifshitz–Looyenga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One cube-root mixing law, not two independent models.</w:t>
      </w:r>
    </w:p>
    <w:p>
      <w:pPr>
        <w:keepNext/>
      </w:pPr>
      <w:r>
        <w:rPr>
          <w:b/>
          <w:i w:val="0"/>
        </w:rPr>
        <w:t>Formulations and study choices</w:t>
      </w:r>
    </w:p>
    <w:p>
      <w:pPr>
        <w:pStyle w:val="ListBullet"/>
      </w:pPr>
      <w:r>
        <w:rPr>
          <w:b w:val="0"/>
          <w:i w:val="0"/>
        </w:rPr>
        <w:t>EM · Looyenga / Landau–Lifshitz–Looyenga</w:t>
      </w:r>
    </w:p>
    <w:p>
      <w:hyperlink r:id="rId71">
        <w:r>
          <w:rPr>
            <w:color w:val="176EA4"/>
          </w:rPr>
          <w:t>∑ Theory &amp; assumptions</w:t>
        </w:r>
      </w:hyperlink>
      <w:r>
        <w:t xml:space="preserve"> </w:t>
      </w:r>
    </w:p>
    <w:p>
      <w:hyperlink r:id="rId72">
        <w:r>
          <w:rPr>
            <w:color w:val="176EA4"/>
          </w:rPr>
          <w:t>Guided exercise &amp; two-layer workflow </w:t>
        </w:r>
      </w:hyperlink>
      <w:r>
        <w:t xml:space="preserve"> </w:t>
      </w:r>
    </w:p>
    <w:p>
      <w:pPr>
        <w:keepNext/>
      </w:pPr>
      <w:r>
        <w:rPr>
          <w:b/>
          <w:i w:val="0"/>
        </w:rPr>
        <w:t xml:space="preserve">∑ </w:t>
      </w:r>
      <w:r>
        <w:rPr>
          <w:b/>
          <w:i w:val="0"/>
        </w:rPr>
        <w:t xml:space="preserve"> </w:t>
      </w:r>
      <w:r>
        <w:rPr>
          <w:b/>
          <w:i w:val="0"/>
        </w:rPr>
        <w:t>Maxwell–Garnett</w:t>
      </w:r>
    </w:p>
    <w:p>
      <w:pPr/>
      <w:r>
        <w:rPr>
          <w:b w:val="0"/>
          <w:i w:val="0"/>
        </w:rPr>
        <w:t>Models → Electromagnetics · RF → Maxwell–Garnett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Dilute subwavelength spherical inclusions in a host.</w:t>
      </w:r>
    </w:p>
    <w:p>
      <w:pPr>
        <w:keepNext/>
      </w:pPr>
      <w:r>
        <w:rPr>
          <w:b/>
          <w:i w:val="0"/>
        </w:rPr>
        <w:t>Formulations and study choices</w:t>
      </w:r>
    </w:p>
    <w:p>
      <w:pPr>
        <w:pStyle w:val="ListBullet"/>
      </w:pPr>
      <w:r>
        <w:rPr>
          <w:b w:val="0"/>
          <w:i w:val="0"/>
        </w:rPr>
        <w:t>EM · Maxwell–Garnett</w:t>
      </w:r>
    </w:p>
    <w:p>
      <w:hyperlink r:id="rId73">
        <w:r>
          <w:rPr>
            <w:color w:val="176EA4"/>
          </w:rPr>
          <w:t>∑ Theory &amp; assumptions</w:t>
        </w:r>
      </w:hyperlink>
      <w:r>
        <w:t xml:space="preserve"> </w:t>
      </w:r>
    </w:p>
    <w:p>
      <w:hyperlink r:id="rId74">
        <w:r>
          <w:rPr>
            <w:color w:val="176EA4"/>
          </w:rPr>
          <w:t>Guided exercise &amp; two-layer workflow </w:t>
        </w:r>
      </w:hyperlink>
      <w:r>
        <w:t xml:space="preserve"> </w:t>
      </w:r>
    </w:p>
    <w:p>
      <w:pPr>
        <w:keepNext/>
      </w:pPr>
      <w:r>
        <w:rPr>
          <w:b/>
          <w:i w:val="0"/>
        </w:rPr>
        <w:t xml:space="preserve">∑ </w:t>
      </w:r>
      <w:r>
        <w:rPr>
          <w:b/>
          <w:i w:val="0"/>
        </w:rPr>
        <w:t xml:space="preserve"> </w:t>
      </w:r>
      <w:r>
        <w:rPr>
          <w:b/>
          <w:i w:val="0"/>
        </w:rPr>
        <w:t>Normal-incidence laminate TMM</w:t>
      </w:r>
    </w:p>
    <w:p>
      <w:pPr/>
      <w:r>
        <w:rPr>
          <w:b w:val="0"/>
          <w:i w:val="0"/>
        </w:rPr>
        <w:t>Models → Electromagnetics · RF → Normal-incidence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r>
        <w:rPr>
          <w:b w:val="0"/>
          <w:i w:val="0"/>
        </w:rPr>
        <w:t>Coherent isotropic nonmagnetic layers between air half-spaces.</w:t>
      </w:r>
    </w:p>
    <w:p>
      <w:pPr>
        <w:keepNext/>
      </w:pPr>
      <w:r>
        <w:rPr>
          <w:b/>
          <w:i w:val="0"/>
        </w:rPr>
        <w:t>Formulations and study choices</w:t>
      </w:r>
    </w:p>
    <w:p>
      <w:pPr>
        <w:pStyle w:val="ListBullet"/>
      </w:pPr>
      <w:r>
        <w:rPr>
          <w:b w:val="0"/>
          <w:i w:val="0"/>
        </w:rPr>
        <w:t>EM · Normal-incidence laminate TMM</w:t>
      </w:r>
    </w:p>
    <w:p>
      <w:hyperlink r:id="rId75">
        <w:r>
          <w:rPr>
            <w:color w:val="176EA4"/>
          </w:rPr>
          <w:t>∑ Theory &amp; assumptions</w:t>
        </w:r>
      </w:hyperlink>
      <w:r>
        <w:t xml:space="preserve"> </w:t>
      </w:r>
    </w:p>
    <w:p>
      <w:hyperlink r:id="rId76">
        <w:r>
          <w:rPr>
            <w:color w:val="176EA4"/>
          </w:rPr>
          <w:t>Guided exercise &amp; two-layer workflow </w:t>
        </w:r>
      </w:hyperlink>
      <w:r>
        <w:t xml:space="preserve"> </w:t>
      </w:r>
    </w:p>
    <w:p>
      <w:pPr>
        <w:keepNext/>
      </w:pPr>
      <w:r>
        <w:rPr>
          <w:b/>
          <w:i w:val="0"/>
        </w:rPr>
        <w:t xml:space="preserve">∑ </w:t>
      </w:r>
      <w:r>
        <w:rPr>
          <w:b/>
          <w:i w:val="0"/>
        </w:rPr>
        <w:t xml:space="preserve"> </w:t>
      </w:r>
      <w:r>
        <w:rPr>
          <w:b/>
          <w:i w:val="0"/>
        </w:rPr>
        <w:t>Bruggeman symmetric EMT</w:t>
      </w:r>
    </w:p>
    <w:p>
      <w:pPr/>
      <w:r>
        <w:rPr>
          <w:b w:val="0"/>
          <w:i w:val="0"/>
        </w:rPr>
        <w:t>Models → Electromagnetics · RF → Bruggeman symmetric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Two positive-permittivity phases; no explicit contact network.</w:t>
      </w:r>
    </w:p>
    <w:p>
      <w:pPr>
        <w:keepNext/>
      </w:pPr>
      <w:r>
        <w:rPr>
          <w:b/>
          <w:i w:val="0"/>
        </w:rPr>
        <w:t>Formulations and study choices</w:t>
      </w:r>
    </w:p>
    <w:p>
      <w:pPr>
        <w:pStyle w:val="ListBullet"/>
      </w:pPr>
      <w:r>
        <w:rPr>
          <w:b w:val="0"/>
          <w:i w:val="0"/>
        </w:rPr>
        <w:t>EM · Bruggeman symmetric EMT</w:t>
      </w:r>
    </w:p>
    <w:p>
      <w:hyperlink r:id="rId77">
        <w:r>
          <w:rPr>
            <w:color w:val="176EA4"/>
          </w:rPr>
          <w:t>∑ Theory &amp; assumptions</w:t>
        </w:r>
      </w:hyperlink>
      <w:r>
        <w:t xml:space="preserve"> </w:t>
      </w:r>
    </w:p>
    <w:p>
      <w:hyperlink r:id="rId78">
        <w:r>
          <w:rPr>
            <w:color w:val="176EA4"/>
          </w:rPr>
          <w:t>Guided exercise &amp; two-layer workflow </w:t>
        </w:r>
      </w:hyperlink>
      <w:r>
        <w:t xml:space="preserve"> </w:t>
      </w:r>
    </w:p>
    <w:p>
      <w:pPr>
        <w:keepNext/>
      </w:pPr>
      <w:r>
        <w:rPr>
          <w:b/>
          <w:i w:val="0"/>
        </w:rPr>
        <w:t xml:space="preserve">∑ </w:t>
      </w:r>
      <w:r>
        <w:rPr>
          <w:b/>
          <w:i w:val="0"/>
        </w:rPr>
        <w:t xml:space="preserve"> </w:t>
      </w:r>
      <w:r>
        <w:rPr>
          <w:b/>
          <w:i w:val="0"/>
        </w:rPr>
        <w:t>EM Mori–Tanaka</w:t>
      </w:r>
    </w:p>
    <w:p>
      <w:pPr/>
      <w:r>
        <w:rPr>
          <w:b w:val="0"/>
          <w:i w:val="0"/>
        </w:rPr>
        <w:t>Models → Electromagnetics · RF → EM Mori–Tanaka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Scalar principal-axis ellipsoidal field approximation.</w:t>
      </w:r>
    </w:p>
    <w:p>
      <w:pPr>
        <w:keepNext/>
      </w:pPr>
      <w:r>
        <w:rPr>
          <w:b/>
          <w:i w:val="0"/>
        </w:rPr>
        <w:t>Formulations and study choices</w:t>
      </w:r>
    </w:p>
    <w:p>
      <w:pPr>
        <w:pStyle w:val="ListBullet"/>
      </w:pPr>
      <w:r>
        <w:rPr>
          <w:b w:val="0"/>
          <w:i w:val="0"/>
        </w:rPr>
        <w:t>EM · EM Mori–Tanaka</w:t>
      </w:r>
    </w:p>
    <w:p>
      <w:hyperlink r:id="rId79">
        <w:r>
          <w:rPr>
            <w:color w:val="176EA4"/>
          </w:rPr>
          <w:t>∑ Theory &amp; assumptions</w:t>
        </w:r>
      </w:hyperlink>
      <w:r>
        <w:t xml:space="preserve"> </w:t>
      </w:r>
    </w:p>
    <w:p>
      <w:hyperlink r:id="rId80">
        <w:r>
          <w:rPr>
            <w:color w:val="176EA4"/>
          </w:rPr>
          <w:t>Guided exercise &amp; two-layer workflow </w:t>
        </w:r>
      </w:hyperlink>
      <w:r>
        <w:t xml:space="preserve"> </w:t>
      </w:r>
    </w:p>
    <w:p>
      <w:pPr>
        <w:keepNext/>
      </w:pPr>
      <w:r>
        <w:rPr>
          <w:b/>
          <w:i w:val="0"/>
        </w:rPr>
        <w:t xml:space="preserve">∑ </w:t>
      </w:r>
      <w:r>
        <w:rPr>
          <w:b/>
          <w:i w:val="0"/>
        </w:rPr>
        <w:t xml:space="preserve"> </w:t>
      </w:r>
      <w:r>
        <w:rPr>
          <w:b/>
          <w:i w:val="0"/>
        </w:rPr>
        <w:t>EM self-consistent</w:t>
      </w:r>
    </w:p>
    <w:p>
      <w:pPr/>
      <w:r>
        <w:rPr>
          <w:b w:val="0"/>
          <w:i w:val="0"/>
        </w:rPr>
        <w:t>Models → Electromagnetics · RF → EM self-consistent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Scalar principal-axis self-consistency; spherical case equals Bruggeman.</w:t>
      </w:r>
    </w:p>
    <w:p>
      <w:pPr>
        <w:keepNext/>
      </w:pPr>
      <w:r>
        <w:rPr>
          <w:b/>
          <w:i w:val="0"/>
        </w:rPr>
        <w:t>Formulations and study choices</w:t>
      </w:r>
    </w:p>
    <w:p>
      <w:pPr>
        <w:pStyle w:val="ListBullet"/>
      </w:pPr>
      <w:r>
        <w:rPr>
          <w:b w:val="0"/>
          <w:i w:val="0"/>
        </w:rPr>
        <w:t>EM · EM self-consistent</w:t>
      </w:r>
    </w:p>
    <w:p>
      <w:hyperlink r:id="rId81">
        <w:r>
          <w:rPr>
            <w:color w:val="176EA4"/>
          </w:rPr>
          <w:t>∑ Theory &amp; assumptions</w:t>
        </w:r>
      </w:hyperlink>
      <w:r>
        <w:t xml:space="preserve"> </w:t>
      </w:r>
    </w:p>
    <w:p>
      <w:hyperlink r:id="rId82">
        <w:r>
          <w:rPr>
            <w:color w:val="176EA4"/>
          </w:rPr>
          <w:t>Guided exercise &amp; two-layer workflow </w:t>
        </w:r>
      </w:hyperlink>
      <w:r>
        <w:t xml:space="preserve"> </w:t>
      </w:r>
    </w:p>
    <w:p>
      <w:pPr>
        <w:keepNext/>
      </w:pPr>
      <w:r>
        <w:rPr>
          <w:b/>
          <w:i w:val="0"/>
        </w:rPr>
        <w:t xml:space="preserve">∑ </w:t>
      </w:r>
      <w:r>
        <w:rPr>
          <w:b/>
          <w:i w:val="0"/>
        </w:rPr>
        <w:t xml:space="preserve"> </w:t>
      </w:r>
      <w:r>
        <w:rPr>
          <w:b/>
          <w:i w:val="0"/>
        </w:rPr>
        <w:t>Differential effective medium</w:t>
      </w:r>
    </w:p>
    <w:p>
      <w:pPr/>
      <w:r>
        <w:rPr>
          <w:b w:val="0"/>
          <w:i w:val="0"/>
        </w:rPr>
        <w:t>Models → Electromagnetics · RF → Differential effective medium</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Incremental mixing with time-step refinement check.</w:t>
      </w:r>
    </w:p>
    <w:p>
      <w:pPr>
        <w:keepNext/>
      </w:pPr>
      <w:r>
        <w:rPr>
          <w:b/>
          <w:i w:val="0"/>
        </w:rPr>
        <w:t>Formulations and study choices</w:t>
      </w:r>
    </w:p>
    <w:p>
      <w:pPr>
        <w:pStyle w:val="ListBullet"/>
      </w:pPr>
      <w:r>
        <w:rPr>
          <w:b w:val="0"/>
          <w:i w:val="0"/>
        </w:rPr>
        <w:t>EM · Differential effective medium</w:t>
      </w:r>
    </w:p>
    <w:p>
      <w:hyperlink r:id="rId83">
        <w:r>
          <w:rPr>
            <w:color w:val="176EA4"/>
          </w:rPr>
          <w:t>∑ Theory &amp; assumptions</w:t>
        </w:r>
      </w:hyperlink>
      <w:r>
        <w:t xml:space="preserve"> </w:t>
      </w:r>
    </w:p>
    <w:p>
      <w:hyperlink r:id="rId84">
        <w:r>
          <w:rPr>
            <w:color w:val="176EA4"/>
          </w:rPr>
          <w:t>Guided exercise &amp; two-layer workflow </w:t>
        </w:r>
      </w:hyperlink>
      <w:r>
        <w:t xml:space="preserve"> </w:t>
      </w:r>
    </w:p>
    <w:p>
      <w:pPr>
        <w:keepNext/>
      </w:pPr>
      <w:r>
        <w:rPr>
          <w:b/>
          <w:i w:val="0"/>
        </w:rPr>
        <w:t xml:space="preserve">∑ </w:t>
      </w:r>
      <w:r>
        <w:rPr>
          <w:b/>
          <w:i w:val="0"/>
        </w:rPr>
        <w:t xml:space="preserve"> </w:t>
      </w:r>
      <w:r>
        <w:rPr>
          <w:b/>
          <w:i w:val="0"/>
        </w:rPr>
        <w:t>Coated sphere and interphase</w:t>
      </w:r>
    </w:p>
    <w:p>
      <w:pPr/>
      <w:r>
        <w:rPr>
          <w:b w:val="0"/>
          <w:i w:val="0"/>
        </w:rPr>
        <w:t>Models → Electromagnetics · RF → Coated sphere and interphase</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Concentric subwavelength coated spheres; no dynamic Mie scattering.</w:t>
      </w:r>
    </w:p>
    <w:p>
      <w:pPr>
        <w:keepNext/>
      </w:pPr>
      <w:r>
        <w:rPr>
          <w:b/>
          <w:i w:val="0"/>
        </w:rPr>
        <w:t>Formulations and study choices</w:t>
      </w:r>
    </w:p>
    <w:p>
      <w:pPr>
        <w:pStyle w:val="ListBullet"/>
      </w:pPr>
      <w:r>
        <w:rPr>
          <w:b w:val="0"/>
          <w:i w:val="0"/>
        </w:rPr>
        <w:t>EM · Coated sphere and interphase</w:t>
      </w:r>
    </w:p>
    <w:p>
      <w:hyperlink r:id="rId85">
        <w:r>
          <w:rPr>
            <w:color w:val="176EA4"/>
          </w:rPr>
          <w:t>∑ Theory &amp; assumptions</w:t>
        </w:r>
      </w:hyperlink>
      <w:r>
        <w:t xml:space="preserve"> </w:t>
      </w:r>
    </w:p>
    <w:p>
      <w:hyperlink r:id="rId86">
        <w:r>
          <w:rPr>
            <w:color w:val="176EA4"/>
          </w:rPr>
          <w:t>Guided exercise &amp; two-layer workflow </w:t>
        </w:r>
      </w:hyperlink>
      <w:r>
        <w:t xml:space="preserve"> </w:t>
      </w:r>
    </w:p>
    <w:p>
      <w:pPr>
        <w:keepNext/>
      </w:pPr>
      <w:r>
        <w:rPr>
          <w:b/>
          <w:i w:val="0"/>
        </w:rPr>
        <w:t xml:space="preserve">∑ </w:t>
      </w:r>
      <w:r>
        <w:rPr>
          <w:b/>
          <w:i w:val="0"/>
        </w:rPr>
        <w:t xml:space="preserve"> </w:t>
      </w:r>
      <w:r>
        <w:rPr>
          <w:b/>
          <w:i w:val="0"/>
        </w:rPr>
        <w:t>Generalized multiphase EMT</w:t>
      </w:r>
    </w:p>
    <w:p>
      <w:pPr/>
      <w:r>
        <w:rPr>
          <w:b w:val="0"/>
          <w:i w:val="0"/>
        </w:rPr>
        <w:t>Models → Electromagnetics · RF → Generalized multiphase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r>
        <w:rPr>
          <w:b w:val="0"/>
          <w:i w:val="0"/>
        </w:rPr>
        <w:t>Spherical multiphase Bruggeman with convergence checks.</w:t>
      </w:r>
    </w:p>
    <w:p>
      <w:pPr>
        <w:keepNext/>
      </w:pPr>
      <w:r>
        <w:rPr>
          <w:b/>
          <w:i w:val="0"/>
        </w:rPr>
        <w:t>Formulations and study choices</w:t>
      </w:r>
    </w:p>
    <w:p>
      <w:pPr>
        <w:pStyle w:val="ListBullet"/>
      </w:pPr>
      <w:r>
        <w:rPr>
          <w:b w:val="0"/>
          <w:i w:val="0"/>
        </w:rPr>
        <w:t>EM · Generalized multiphase EMT</w:t>
      </w:r>
    </w:p>
    <w:p>
      <w:hyperlink r:id="rId87">
        <w:r>
          <w:rPr>
            <w:color w:val="176EA4"/>
          </w:rPr>
          <w:t>∑ Theory &amp; assumptions</w:t>
        </w:r>
      </w:hyperlink>
      <w:r>
        <w:t xml:space="preserve"> </w:t>
      </w:r>
    </w:p>
    <w:p>
      <w:hyperlink r:id="rId88">
        <w:r>
          <w:rPr>
            <w:color w:val="176EA4"/>
          </w:rPr>
          <w:t>Guided exercise &amp; two-layer workflow </w:t>
        </w:r>
      </w:hyperlink>
      <w:r>
        <w:t xml:space="preserve"> </w:t>
      </w:r>
    </w:p>
    <w:p>
      <w:pPr>
        <w:keepNext/>
      </w:pPr>
      <w:r>
        <w:rPr>
          <w:b/>
          <w:i w:val="0"/>
        </w:rPr>
        <w:t xml:space="preserve">∑ </w:t>
      </w:r>
      <w:r>
        <w:rPr>
          <w:b/>
          <w:i w:val="0"/>
        </w:rPr>
        <w:t xml:space="preserve"> </w:t>
      </w:r>
      <w:r>
        <w:rPr>
          <w:b/>
          <w:i w:val="0"/>
        </w:rPr>
        <w:t>Oblique polarized laminate TMM</w:t>
      </w:r>
    </w:p>
    <w:p>
      <w:pPr/>
      <w:r>
        <w:rPr>
          <w:b w:val="0"/>
          <w:i w:val="0"/>
        </w:rPr>
        <w:t>Models → Electromagnetics · RF → Oblique polarized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r>
        <w:rPr>
          <w:b w:val="0"/>
          <w:i w:val="0"/>
        </w:rPr>
        <w:t>TE or TM waves; scalar isotropic layers, no polarization conversion.</w:t>
      </w:r>
    </w:p>
    <w:p>
      <w:pPr>
        <w:keepNext/>
      </w:pPr>
      <w:r>
        <w:rPr>
          <w:b/>
          <w:i w:val="0"/>
        </w:rPr>
        <w:t>Formulations and study choices</w:t>
      </w:r>
    </w:p>
    <w:p>
      <w:pPr>
        <w:pStyle w:val="ListBullet"/>
      </w:pPr>
      <w:r>
        <w:rPr>
          <w:b w:val="0"/>
          <w:i w:val="0"/>
        </w:rPr>
        <w:t>EM · Oblique polarized laminate TMM</w:t>
      </w:r>
    </w:p>
    <w:p>
      <w:hyperlink r:id="rId89">
        <w:r>
          <w:rPr>
            <w:color w:val="176EA4"/>
          </w:rPr>
          <w:t>∑ Theory &amp; assumptions</w:t>
        </w:r>
      </w:hyperlink>
      <w:r>
        <w:t xml:space="preserve"> </w:t>
      </w:r>
    </w:p>
    <w:p>
      <w:hyperlink r:id="rId90">
        <w:r>
          <w:rPr>
            <w:color w:val="176EA4"/>
          </w:rPr>
          <w:t>Guided exercise &amp; two-layer workflow </w:t>
        </w:r>
      </w:hyperlink>
      <w:r>
        <w:t xml:space="preserve"> </w:t>
      </w:r>
    </w:p>
    <w:p>
      <w:pPr>
        <w:keepNext/>
      </w:pPr>
      <w:r>
        <w:rPr>
          <w:b/>
          <w:i w:val="0"/>
        </w:rPr>
        <w:t xml:space="preserve">∑ </w:t>
      </w:r>
      <w:r>
        <w:rPr>
          <w:b/>
          <w:i w:val="0"/>
        </w:rPr>
        <w:t xml:space="preserve"> </w:t>
      </w:r>
      <w:r>
        <w:rPr>
          <w:b/>
          <w:i w:val="0"/>
        </w:rPr>
        <w:t>1D transmission line matrix</w:t>
      </w:r>
    </w:p>
    <w:p>
      <w:pPr/>
      <w:r>
        <w:rPr>
          <w:b w:val="0"/>
          <w:i w:val="0"/>
        </w:rPr>
        <w:t>Models → Electromagnetics · RF → 1D transmission line matrix</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Reflected and transmitted pulse histories and spectra; mesh and energy checks</w:t>
      </w:r>
    </w:p>
    <w:p>
      <w:pPr/>
      <w:r>
        <w:rPr>
          <w:b w:val="0"/>
          <w:i w:val="0"/>
        </w:rPr>
        <w:t>Normal-incidence lossless delay-line mesh with pulse decay, energy and mesh-refinement safeguards. Explicit Run required; not a 3D solver.</w:t>
      </w:r>
    </w:p>
    <w:p>
      <w:pPr>
        <w:keepNext/>
      </w:pPr>
      <w:r>
        <w:rPr>
          <w:b/>
          <w:i w:val="0"/>
        </w:rPr>
        <w:t>Formulations and study choices</w:t>
      </w:r>
    </w:p>
    <w:p>
      <w:pPr>
        <w:pStyle w:val="ListBullet"/>
      </w:pPr>
      <w:r>
        <w:rPr>
          <w:b w:val="0"/>
          <w:i w:val="0"/>
        </w:rPr>
        <w:t>EM · 1D transmission line matrix</w:t>
      </w:r>
    </w:p>
    <w:p>
      <w:hyperlink r:id="rId91">
        <w:r>
          <w:rPr>
            <w:color w:val="176EA4"/>
          </w:rPr>
          <w:t>∑ Theory &amp; assumptions</w:t>
        </w:r>
      </w:hyperlink>
      <w:r>
        <w:t xml:space="preserve"> </w:t>
      </w:r>
    </w:p>
    <w:p>
      <w:hyperlink r:id="rId92">
        <w:r>
          <w:rPr>
            <w:color w:val="176EA4"/>
          </w:rPr>
          <w:t>Guided exercise &amp; two-layer workflow </w:t>
        </w:r>
      </w:hyperlink>
      <w:r>
        <w:t xml:space="preserve"> </w:t>
      </w:r>
    </w:p>
    <w:p>
      <w:pPr>
        <w:keepNext/>
      </w:pPr>
      <w:r>
        <w:rPr>
          <w:b/>
          <w:i w:val="0"/>
        </w:rPr>
        <w:t xml:space="preserve">∑ </w:t>
      </w:r>
      <w:r>
        <w:rPr>
          <w:b/>
          <w:i w:val="0"/>
        </w:rPr>
        <w:t xml:space="preserve"> </w:t>
      </w:r>
      <w:r>
        <w:rPr>
          <w:b/>
          <w:i w:val="0"/>
        </w:rPr>
        <w:t>1D Floquet–Bloch periodic layers</w:t>
      </w:r>
    </w:p>
    <w:p>
      <w:pPr/>
      <w:r>
        <w:rPr>
          <w:b w:val="0"/>
          <w:i w:val="0"/>
        </w:rPr>
        <w:t>Models → Electromagnetics · RF → 1D Floquet–Bloch periodic layers</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Periodic-cell eigenvalues, folded Bloch phase and stop-band decay</w:t>
      </w:r>
    </w:p>
    <w:p>
      <w:pPr/>
      <w:r>
        <w:rPr>
          <w:b w:val="0"/>
          <w:i w:val="0"/>
        </w:rPr>
        <w:t>Lossless isotropic A/B unit-cell eigenvalues, folded Bloch phase and stop-band attenuation at normal incidence. Not arbitrary-cell homogenization.</w:t>
      </w:r>
    </w:p>
    <w:p>
      <w:pPr>
        <w:keepNext/>
      </w:pPr>
      <w:r>
        <w:rPr>
          <w:b/>
          <w:i w:val="0"/>
        </w:rPr>
        <w:t>Formulations and study choices</w:t>
      </w:r>
    </w:p>
    <w:p>
      <w:pPr>
        <w:pStyle w:val="ListBullet"/>
      </w:pPr>
      <w:r>
        <w:rPr>
          <w:b w:val="0"/>
          <w:i w:val="0"/>
        </w:rPr>
        <w:t>EM · 1D Floquet–Bloch periodic layers</w:t>
      </w:r>
    </w:p>
    <w:p>
      <w:hyperlink r:id="rId93">
        <w:r>
          <w:rPr>
            <w:color w:val="176EA4"/>
          </w:rPr>
          <w:t>∑ Theory &amp; assumptions</w:t>
        </w:r>
      </w:hyperlink>
      <w:r>
        <w:t xml:space="preserve"> </w:t>
      </w:r>
    </w:p>
    <w:p>
      <w:hyperlink r:id="rId94">
        <w:r>
          <w:rPr>
            <w:color w:val="176EA4"/>
          </w:rPr>
          <w:t>Guided exercise &amp; two-layer workflow </w:t>
        </w:r>
      </w:hyperlink>
      <w:r>
        <w:t xml:space="preserve"> </w:t>
      </w:r>
    </w:p>
    <w:p>
      <w:pPr>
        <w:keepNext/>
      </w:pPr>
      <w:r>
        <w:rPr>
          <w:b/>
          <w:i w:val="0"/>
        </w:rPr>
        <w:t>Reference theory versus released functionality</w:t>
      </w:r>
    </w:p>
    <w:p>
      <w:pPr/>
      <w:r>
        <w:rPr>
          <w:b w:val="0"/>
          <w:i w:val="0"/>
        </w:rPr>
        <w:t>The wider theory library also describes research and compiled-solver formulations. Event-driven Henry–Pimenta RVE, stochastic discontinuous-fiber failure, Puck, nonlinear-shear LaRC04, impact and general 3D finite-element analysis are not selectable hosted Workbench models. Cox elastic short-fiber homogenization and the separate linear-shear LaRC04 study are available within their stated limits.</w:t>
      </w:r>
    </w:p>
    <w:p>
      <w:pPr/>
      <w:r>
        <w:rPr>
          <w:b w:val="0"/>
          <w:i w:val="0"/>
        </w:rPr>
        <w:t>Reference-state studies run separately from coupled process or progressive analyses. Residual-fatigue results do not automatically update optimization properties. Tool release uses prescribed eigenstrains rather than importing a cure history.</w:t>
      </w:r>
    </w:p>
    <w:p>
      <w:bookmarkStart w:id="9" w:name="chapter_9"/>
      <w:pPr>
        <w:pStyle w:val="Heading1"/>
        <w:pageBreakBefore/>
      </w:pPr>
      <w:r>
        <w:t>9 Connect design intent to process behavior</w:t>
      </w:r>
      <w:bookmarkEnd w:id="9"/>
    </w:p>
    <w:p>
      <w:pPr>
        <w:pStyle w:val="Caption"/>
      </w:pPr>
      <w:hyperlink r:id="rId117">
        <w:r>
          <w:rPr>
            <w:color w:val="176EA4"/>
          </w:rPr>
          <w:t>Online chapter</w:t>
        </w:r>
      </w:hyperlink>
      <w:r>
        <w:t xml:space="preserve"> </w:t>
      </w:r>
    </w:p>
    <w:p>
      <w:pPr/>
      <w:r>
        <w:rPr>
          <w:b w:val="0"/>
          <w:i w:val="0"/>
        </w:rPr>
        <w:t>Solve steady-state or transient through-thickness process response before structural analysis, using effective ply transport properties, independent top and bottom schedules, cure exotherm, cure-dependent modulus, polymer kinetics, water uptake or release, and process-cycle optimization.</w:t>
      </w:r>
    </w:p>
    <w:p>
      <w:r>
        <w:t>Read time and travel distance</w:t>
      </w:r>
    </w:p>
    <w:p>
      <w:pPr/>
      <w:r>
        <w:rPr>
          <w:b w:val="0"/>
          <w:i w:val="0"/>
        </w:rPr>
        <w:t>Boundary peak</w:t>
      </w:r>
      <w:r>
        <w:t xml:space="preserve">: </w:t>
      </w:r>
      <w:r>
        <w:rPr>
          <w:b w:val="0"/>
          <w:i w:val="0"/>
        </w:rPr>
        <w:t>120</w:t>
      </w:r>
      <w:r>
        <w:rPr>
          <w:b w:val="0"/>
          <w:i w:val="0"/>
        </w:rPr>
        <w:t xml:space="preserve"> </w:t>
      </w:r>
      <w:r>
        <w:rPr>
          <w:b w:val="0"/>
          <w:i w:val="0"/>
        </w:rPr>
        <w:t xml:space="preserve"> </w:t>
      </w:r>
      <w:r>
        <w:rPr>
          <w:b w:val="0"/>
          <w:i w:val="0"/>
        </w:rPr>
        <w:t xml:space="preserve"> </w:t>
      </w:r>
      <w:r>
        <w:rPr>
          <w:b w:val="0"/>
          <w:i w:val="0"/>
        </w:rPr>
        <w:t>°C</w:t>
      </w:r>
    </w:p>
    <w:p>
      <w:pPr/>
      <w:r>
        <w:rPr>
          <w:b w:val="0"/>
          <w:i w:val="0"/>
        </w:rPr>
        <w:t>Pull speed</w:t>
      </w:r>
      <w:r>
        <w:t xml:space="preserve">: </w:t>
      </w:r>
      <w:r>
        <w:rPr>
          <w:b w:val="0"/>
          <w:i w:val="0"/>
        </w:rPr>
        <w:t>10</w:t>
      </w:r>
      <w:r>
        <w:rPr>
          <w:b w:val="0"/>
          <w:i w:val="0"/>
        </w:rPr>
        <w:t xml:space="preserve"> </w:t>
      </w:r>
      <w:r>
        <w:rPr>
          <w:b w:val="0"/>
          <w:i w:val="0"/>
        </w:rPr>
        <w:t xml:space="preserve"> </w:t>
      </w:r>
      <w:r>
        <w:rPr>
          <w:b w:val="0"/>
          <w:i w:val="0"/>
        </w:rPr>
        <w:t xml:space="preserve"> </w:t>
      </w:r>
      <w:r>
        <w:rPr>
          <w:b w:val="0"/>
          <w:i w:val="0"/>
        </w:rPr>
        <w:t>mm/min</w:t>
      </w:r>
    </w:p>
    <w:p>
      <w:pPr/>
      <w:r>
        <w:rPr>
          <w:b w:val="0"/>
          <w:i w:val="0"/>
        </w:rPr>
        <w:t>Time cursor</w:t>
      </w:r>
      <w:r>
        <w:t xml:space="preserve">: </w:t>
      </w:r>
      <w:r>
        <w:rPr>
          <w:b w:val="0"/>
          <w:i w:val="0"/>
        </w:rPr>
        <w:t>30</w:t>
      </w:r>
      <w:r>
        <w:rPr>
          <w:b w:val="0"/>
          <w:i w:val="0"/>
        </w:rPr>
        <w:t xml:space="preserve"> </w:t>
      </w:r>
      <w:r>
        <w:rPr>
          <w:b w:val="0"/>
          <w:i w:val="0"/>
        </w:rPr>
        <w:t xml:space="preserve"> </w:t>
      </w:r>
      <w:r>
        <w:rPr>
          <w:b w:val="0"/>
          <w:i w:val="0"/>
        </w:rPr>
        <w:t xml:space="preserve"> </w:t>
      </w:r>
      <w:r>
        <w:rPr>
          <w:b w:val="0"/>
          <w:i w:val="0"/>
        </w:rPr>
        <w:t>min</w:t>
      </w:r>
    </w:p>
    <w:p>
      <w:r>
        <w:t>Show length instead of time</w:t>
      </w:r>
    </w:p>
    <w:p>
      <w:pPr>
        <w:keepNext w:val="0"/>
        <w:jc w:val="center"/>
      </w:pPr>
      <w:r>
        <w:drawing>
          <wp:inline xmlns:a="http://schemas.openxmlformats.org/drawingml/2006/main" xmlns:pic="http://schemas.openxmlformats.org/drawingml/2006/picture">
            <wp:extent cx="6217920" cy="3008671"/>
            <wp:docPr id="11" name="Picture 11" descr="CDS workflow or model illustration"/>
            <wp:cNvGraphicFramePr>
              <a:graphicFrameLocks noChangeAspect="1"/>
            </wp:cNvGraphicFramePr>
            <a:graphic>
              <a:graphicData uri="http://schemas.openxmlformats.org/drawingml/2006/picture">
                <pic:pic>
                  <pic:nvPicPr>
                    <pic:cNvPr id="0" name="rsvg-859d77426e4a327be598b4169882a9deaecd9260214eeb8ef33932eff7c1ad11.png"/>
                    <pic:cNvPicPr/>
                  </pic:nvPicPr>
                  <pic:blipFill>
                    <a:blip r:embed="rId122"/>
                    <a:stretch>
                      <a:fillRect/>
                    </a:stretch>
                  </pic:blipFill>
                  <pic:spPr>
                    <a:xfrm>
                      <a:off x="0" y="0"/>
                      <a:ext cx="6217920" cy="3008671"/>
                    </a:xfrm>
                    <a:prstGeom prst="rect"/>
                  </pic:spPr>
                </pic:pic>
              </a:graphicData>
            </a:graphic>
          </wp:inline>
        </w:drawing>
      </w:r>
    </w:p>
    <w:p>
      <w:pPr/>
      <w:r>
        <w:rPr>
          <w:b w:val="0"/>
          <w:i w:val="0"/>
        </w:rPr>
        <w:t>Cursor: 30 min · 300 mm · 120.0 °C</w:t>
      </w:r>
    </w:p>
    <w:p>
      <w:pPr/>
      <w:r>
        <w:rPr>
          <w:b w:val="0"/>
          <w:i w:val="0"/>
        </w:rPr>
        <w:t>03.4</w:t>
      </w:r>
      <w:r>
        <w:rPr>
          <w:b w:val="0"/>
          <w:i w:val="0"/>
        </w:rPr>
        <w:t xml:space="preserve"> </w:t>
      </w:r>
      <w:r>
        <w:rPr>
          <w:b w:val="0"/>
          <w:i w:val="0"/>
        </w:rPr>
        <w:t xml:space="preserve"> / Workflow focus</w:t>
      </w:r>
    </w:p>
    <w:p>
      <w:pPr/>
      <w:r>
        <w:rPr>
          <w:b w:val="0"/>
          <w:i w:val="0"/>
        </w:rPr>
        <w:t>Connected engineering record</w:t>
      </w:r>
    </w:p>
    <w:p>
      <w:pPr>
        <w:pStyle w:val="Heading2"/>
      </w:pPr>
      <w:r>
        <w:t>Independent boundary schedules</w:t>
      </w:r>
    </w:p>
    <w:p>
      <w:pPr/>
      <w:r>
        <w:rPr>
          <w:b w:val="0"/>
          <w:i w:val="0"/>
        </w:rPr>
        <w:t>Thermal and moisture loads each need compatible material properties, a laminate, initial conditions and their own surface schedule.</w:t>
      </w:r>
    </w:p>
    <w:p>
      <w:pPr>
        <w:pStyle w:val="Heading2"/>
      </w:pPr>
      <w:r>
        <w:t>Thermal and moisture formulations</w:t>
      </w:r>
    </w:p>
    <w:p>
      <w:pPr/>
      <w:r>
        <w:rPr>
          <w:b w:val="0"/>
          <w:i w:val="0"/>
        </w:rPr>
        <w:t>Choose the steady or transient transport model for the study. Transient histories resolve the supported one-dimensional through-thickness problem.</w:t>
      </w:r>
    </w:p>
    <w:p>
      <w:pPr>
        <w:pStyle w:val="Heading2"/>
      </w:pPr>
      <w:r>
        <w:t>Cure crystallization and UV</w:t>
      </w:r>
    </w:p>
    <w:p>
      <w:pPr/>
      <w:r>
        <w:rPr>
          <w:b w:val="0"/>
          <w:i w:val="0"/>
        </w:rPr>
        <w:t>Assigned calibrated material laws govern supported polymer-state calculations. UV cure needs its exposure inputs; pultrusion needs the distance/time relationship and pulling speed.</w:t>
      </w:r>
    </w:p>
    <w:p>
      <w:pPr>
        <w:pStyle w:val="Heading2"/>
      </w:pPr>
      <w:r>
        <w:t>Supported coupling</w:t>
      </w:r>
    </w:p>
    <w:p>
      <w:pPr/>
      <w:r>
        <w:rPr>
          <w:b w:val="0"/>
          <w:i w:val="0"/>
        </w:rPr>
        <w:t>A process schedule alone is not a solved history. Only compatible coupled analyses consume recovered environmental fields; reference-elastic studies remain separate.</w:t>
      </w:r>
    </w:p>
    <w:p>
      <w:pPr>
        <w:pStyle w:val="Heading2"/>
      </w:pPr>
      <w:r>
        <w:t>Tool-release shape</w:t>
      </w:r>
    </w:p>
    <w:p>
      <w:pPr/>
      <w:r>
        <w:rPr>
          <w:b w:val="0"/>
          <w:i w:val="0"/>
        </w:rPr>
        <w:t>The separate free-release CLT study uses prescribed temperatures and effective shrinkage. It is not a tool-contact simulation or an automatic transfer of the thermal cure history.</w:t>
      </w:r>
    </w:p>
    <w:p>
      <w:pPr>
        <w:pStyle w:val="Heading2"/>
      </w:pPr>
      <w:r>
        <w:t>Process optimization</w:t>
      </w:r>
    </w:p>
    <w:p>
      <w:pPr/>
      <w:r>
        <w:rPr>
          <w:b w:val="0"/>
          <w:i w:val="0"/>
        </w:rPr>
        <w:t>Compare bounded cycle candidates under supported objectives, save the evidence and rerun the selected candidate.</w:t>
      </w:r>
    </w:p>
    <w:p>
      <w:pPr/>
      <w:r>
        <w:rPr>
          <w:b w:val="0"/>
          <w:i w:val="0"/>
        </w:rPr>
        <w:t xml:space="preserve">Workbench availability: </w:t>
      </w:r>
      <w:hyperlink r:id="rId101">
        <w:r>
          <w:rPr>
            <w:color w:val="176EA4"/>
          </w:rPr>
          <w:t>released models, inputs and compatible study paths</w:t>
        </w:r>
      </w:hyperlink>
      <w:r>
        <w:t xml:space="preserve"> </w:t>
      </w:r>
      <w:r>
        <w:rPr>
          <w:b w:val="0"/>
          <w:i w:val="0"/>
        </w:rPr>
        <w:t>. The wider theory library includes reference formulations not available in every Workbench solve.</w:t>
      </w:r>
    </w:p>
    <w:p>
      <w:pPr/>
      <w:hyperlink r:id="rId112">
        <w:r>
          <w:rPr>
            <w:color w:val="176EA4"/>
          </w:rPr>
          <w:t>Use this workflow in Workbench: interactive Blocks, record selections and connection controls →</w:t>
        </w:r>
      </w:hyperlink>
      <w:r>
        <w:t xml:space="preserve"> </w:t>
      </w:r>
    </w:p>
    <w:p>
      <w:pPr>
        <w:pStyle w:val="Heading2"/>
      </w:pPr>
      <w:r>
        <w:t>Processing released model connections</w:t>
      </w:r>
    </w:p>
    <w:p>
      <w:pPr/>
      <w:r>
        <w:rPr>
          <w:b w:val="0"/>
          <w:i w:val="0"/>
        </w:rPr>
        <w:t xml:space="preserve">Expand a family for inputs, outputs, supported formulations, theory and an exercise. </w:t>
      </w:r>
      <w:hyperlink r:id="rId101">
        <w:r>
          <w:rPr>
            <w:color w:val="176EA4"/>
          </w:rPr>
          <w:t>All model families </w:t>
        </w:r>
      </w:hyperlink>
      <w:r>
        <w:t xml:space="preserve"> </w:t>
      </w:r>
    </w:p>
    <w:p>
      <w:pPr>
        <w:keepNext/>
      </w:pPr>
      <w:r>
        <w:rPr>
          <w:b/>
          <w:i w:val="0"/>
        </w:rPr>
        <w:t xml:space="preserve">∑ </w:t>
      </w:r>
      <w:r>
        <w:rPr>
          <w:b/>
          <w:i w:val="0"/>
        </w:rPr>
        <w:t xml:space="preserve"> </w:t>
      </w:r>
      <w:r>
        <w:rPr>
          <w:b/>
          <w:i w:val="0"/>
        </w:rPr>
        <w:t>Cure, crystallization &amp; material transport</w:t>
      </w:r>
    </w:p>
    <w:p>
      <w:pPr/>
      <w:r>
        <w:rPr>
          <w:b w:val="0"/>
          <w:i w:val="0"/>
        </w:rPr>
        <w:t>Models → material-model folders · assigned through Materials</w:t>
      </w:r>
    </w:p>
    <w:p>
      <w:r>
        <w:rPr>
          <w:b w:val="0"/>
          <w:i w:val="0"/>
        </w:rPr>
        <w:t>Inputs</w:t>
      </w:r>
      <w:r>
        <w:t xml:space="preserve"> </w:t>
      </w:r>
      <w:r>
        <w:rPr>
          <w:b w:val="0"/>
          <w:i w:val="0"/>
        </w:rPr>
        <w:t>Calibrated kinetics, modulus or transport laws and material assignment</w:t>
      </w:r>
      <w:r>
        <w:t xml:space="preserve"> </w:t>
      </w:r>
      <w:r>
        <w:rPr>
          <w:b w:val="0"/>
          <w:i w:val="0"/>
        </w:rPr>
        <w:t>Results / handoff</w:t>
      </w:r>
      <w:r>
        <w:t xml:space="preserve"> </w:t>
      </w:r>
      <w:r>
        <w:rPr>
          <w:b w:val="0"/>
          <w:i w:val="0"/>
        </w:rPr>
        <w:t>Material laws consumed by compatible Micro or transport calculations</w:t>
      </w:r>
    </w:p>
    <w:p>
      <w:pPr/>
      <w:r>
        <w:rPr>
          <w:b w:val="0"/>
          <w:i w:val="0"/>
        </w:rPr>
        <w:t>Independent model records can be linked together through material inputs. A saved model must be assigned to a material before it contributes to a simulation.</w:t>
      </w:r>
    </w:p>
    <w:p>
      <w:pPr>
        <w:keepNext/>
      </w:pPr>
      <w:r>
        <w:rPr>
          <w:b/>
          <w:i w:val="0"/>
        </w:rPr>
        <w:t>Formulations and study choices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hyperlink r:id="rId16">
        <w:r>
          <w:rPr>
            <w:color w:val="176EA4"/>
          </w:rPr>
          <w:t>∑ Theory &amp; assumptions</w:t>
        </w:r>
      </w:hyperlink>
      <w:r>
        <w:t xml:space="preserve"> </w:t>
      </w:r>
    </w:p>
    <w:p>
      <w:hyperlink r:id="rId17">
        <w:r>
          <w:rPr>
            <w:color w:val="176EA4"/>
          </w:rPr>
          <w:t>Guided exercise &amp; two-layer workflow </w:t>
        </w:r>
      </w:hyperlink>
      <w:r>
        <w:t xml:space="preserve"> </w:t>
      </w:r>
    </w:p>
    <w:p>
      <w:pPr/>
      <w:r>
        <w:rPr>
          <w:b w:val="0"/>
          <w:i w:val="0"/>
        </w:rPr>
        <w:t xml:space="preserve"> · </w:t>
      </w:r>
      <w:hyperlink r:id="rId102">
        <w:r>
          <w:rPr>
            <w:color w:val="176EA4"/>
          </w:rPr>
          <w:t>Cure kinetics</w:t>
        </w:r>
      </w:hyperlink>
      <w:r>
        <w:t xml:space="preserve"> </w:t>
      </w:r>
    </w:p>
    <w:p>
      <w:pPr/>
      <w:r>
        <w:rPr>
          <w:b w:val="0"/>
          <w:i w:val="0"/>
        </w:rPr>
        <w:t xml:space="preserve"> · </w:t>
      </w:r>
      <w:hyperlink r:id="rId103">
        <w:r>
          <w:rPr>
            <w:color w:val="176EA4"/>
          </w:rPr>
          <w:t>Crystallization kinetics</w:t>
        </w:r>
      </w:hyperlink>
      <w:r>
        <w:t xml:space="preserve"> </w:t>
      </w:r>
    </w:p>
    <w:p>
      <w:pPr>
        <w:keepNext/>
      </w:pPr>
      <w:r>
        <w:rPr>
          <w:b/>
          <w:i w:val="0"/>
        </w:rPr>
        <w:t xml:space="preserve">∑ </w:t>
      </w:r>
      <w:r>
        <w:rPr>
          <w:b/>
          <w:i w:val="0"/>
        </w:rPr>
        <w:t xml:space="preserve"> </w:t>
      </w:r>
      <w:r>
        <w:rPr>
          <w:b/>
          <w:i w:val="0"/>
        </w:rPr>
        <w:t>Thermal transport</w:t>
      </w:r>
    </w:p>
    <w:p>
      <w:pPr/>
      <w:r>
        <w:rPr>
          <w:b w:val="0"/>
          <w:i w:val="0"/>
        </w:rPr>
        <w:t>Models browser → Thermal transport · source: CASES / Thermal</w:t>
      </w:r>
    </w:p>
    <w:p>
      <w:r>
        <w:rPr>
          <w:b w:val="0"/>
          <w:i w:val="0"/>
        </w:rPr>
        <w:t>Inputs</w:t>
      </w:r>
      <w:r>
        <w:t xml:space="preserve"> </w:t>
      </w:r>
      <w:r>
        <w:rPr>
          <w:b w:val="0"/>
          <w:i w:val="0"/>
        </w:rPr>
        <w:t>Laminate transport properties, initial state and the thermal case’s own surface cycle</w:t>
      </w:r>
      <w:r>
        <w:t xml:space="preserve"> </w:t>
      </w:r>
      <w:r>
        <w:rPr>
          <w:b w:val="0"/>
          <w:i w:val="0"/>
        </w:rPr>
        <w:t>Results / handoff</w:t>
      </w:r>
      <w:r>
        <w:t xml:space="preserve"> </w:t>
      </w:r>
      <w:r>
        <w:rPr>
          <w:b w:val="0"/>
          <w:i w:val="0"/>
        </w:rPr>
        <w:t>Temperature and supported polymer-state histories; mapped fields only when coupling is enabled</w:t>
      </w:r>
    </w:p>
    <w:p>
      <w:pPr/>
      <w:r>
        <w:rPr>
          <w:b w:val="0"/>
          <w:i w:val="0"/>
        </w:rPr>
        <w:t>One transport formulation per thermal case. Select its laminate and configure its own initial conditions and surface cycle; pultrusion additionally requires a distance-based die schedule and pulling velocity.</w:t>
      </w:r>
    </w:p>
    <w:p>
      <w:pPr>
        <w:keepNext/>
      </w:pPr>
      <w:r>
        <w:rPr>
          <w:b/>
          <w:i w:val="0"/>
        </w:rPr>
        <w:t>Formulations and study choices</w:t>
      </w:r>
    </w:p>
    <w:p>
      <w:pPr>
        <w:pStyle w:val="ListBullet"/>
      </w:pPr>
      <w:r>
        <w:rPr>
          <w:b w:val="0"/>
          <w:i w:val="0"/>
        </w:rPr>
        <w:t>1D transient heat transfer</w:t>
      </w:r>
    </w:p>
    <w:p>
      <w:pPr>
        <w:pStyle w:val="ListBullet"/>
      </w:pPr>
      <w:r>
        <w:rPr>
          <w:b w:val="0"/>
          <w:i w:val="0"/>
        </w:rPr>
        <w:t>1D steady-state heat transfer</w:t>
      </w:r>
    </w:p>
    <w:p>
      <w:pPr>
        <w:pStyle w:val="ListBullet"/>
      </w:pPr>
      <w:r>
        <w:rPr>
          <w:b w:val="0"/>
          <w:i w:val="0"/>
        </w:rPr>
        <w:t>1D pultrusion thermal cure</w:t>
      </w:r>
    </w:p>
    <w:p>
      <w:hyperlink r:id="rId18">
        <w:r>
          <w:rPr>
            <w:color w:val="176EA4"/>
          </w:rPr>
          <w:t>∑ Theory &amp; assumptions</w:t>
        </w:r>
      </w:hyperlink>
      <w:r>
        <w:t xml:space="preserve"> </w:t>
      </w:r>
    </w:p>
    <w:p>
      <w:hyperlink r:id="rId19">
        <w:r>
          <w:rPr>
            <w:color w:val="176EA4"/>
          </w:rPr>
          <w:t>Guided exercise &amp; two-layer workflow </w:t>
        </w:r>
      </w:hyperlink>
      <w:r>
        <w:t xml:space="preserve"> </w:t>
      </w:r>
    </w:p>
    <w:p>
      <w:pPr/>
      <w:r>
        <w:rPr>
          <w:b w:val="0"/>
          <w:i w:val="0"/>
        </w:rPr>
        <w:t xml:space="preserve"> · </w:t>
      </w:r>
      <w:hyperlink r:id="rId104">
        <w:r>
          <w:rPr>
            <w:color w:val="176EA4"/>
          </w:rPr>
          <w:t>Pultrusion exercise</w:t>
        </w:r>
      </w:hyperlink>
      <w:r>
        <w:t xml:space="preserve"> </w:t>
      </w:r>
    </w:p>
    <w:p>
      <w:pPr/>
      <w:r>
        <w:rPr>
          <w:b w:val="0"/>
          <w:i w:val="0"/>
        </w:rPr>
        <w:t xml:space="preserve"> · </w:t>
      </w:r>
      <w:hyperlink r:id="rId105">
        <w:r>
          <w:rPr>
            <w:color w:val="176EA4"/>
          </w:rPr>
          <w:t>UV cure exercise</w:t>
        </w:r>
      </w:hyperlink>
      <w:r>
        <w:t xml:space="preserve"> </w:t>
      </w:r>
    </w:p>
    <w:p>
      <w:pPr>
        <w:keepNext/>
      </w:pPr>
      <w:r>
        <w:rPr>
          <w:b/>
          <w:i w:val="0"/>
        </w:rPr>
        <w:t xml:space="preserve">∑ </w:t>
      </w:r>
      <w:r>
        <w:rPr>
          <w:b/>
          <w:i w:val="0"/>
        </w:rPr>
        <w:t xml:space="preserve"> </w:t>
      </w:r>
      <w:r>
        <w:rPr>
          <w:b/>
          <w:i w:val="0"/>
        </w:rPr>
        <w:t>Moisture transport</w:t>
      </w:r>
    </w:p>
    <w:p>
      <w:pPr/>
      <w:r>
        <w:rPr>
          <w:b w:val="0"/>
          <w:i w:val="0"/>
        </w:rPr>
        <w:t>Models browser → Moisture transport · source: CASES / Moisture</w:t>
      </w:r>
    </w:p>
    <w:p>
      <w:r>
        <w:rPr>
          <w:b w:val="0"/>
          <w:i w:val="0"/>
        </w:rPr>
        <w:t>Inputs</w:t>
      </w:r>
      <w:r>
        <w:t xml:space="preserve"> </w:t>
      </w:r>
      <w:r>
        <w:rPr>
          <w:b w:val="0"/>
          <w:i w:val="0"/>
        </w:rPr>
        <w:t>Laminate diffusion properties, initial moisture and its own boundary schedule</w:t>
      </w:r>
      <w:r>
        <w:t xml:space="preserve"> </w:t>
      </w:r>
      <w:r>
        <w:rPr>
          <w:b w:val="0"/>
          <w:i w:val="0"/>
        </w:rPr>
        <w:t>Results / handoff</w:t>
      </w:r>
      <w:r>
        <w:t xml:space="preserve"> </w:t>
      </w:r>
      <w:r>
        <w:rPr>
          <w:b w:val="0"/>
          <w:i w:val="0"/>
        </w:rPr>
        <w:t>Moisture history and enabled swelling contribution</w:t>
      </w:r>
    </w:p>
    <w:p>
      <w:pPr/>
      <w:r>
        <w:rPr>
          <w:b w:val="0"/>
          <w:i w:val="0"/>
        </w:rPr>
        <w:t>One formulation per moisture analysis. Thermal and moisture analyses can both be linked in Simulation; each needs its own boundary conditions.</w:t>
      </w:r>
    </w:p>
    <w:p>
      <w:pPr>
        <w:keepNext/>
      </w:pPr>
      <w:r>
        <w:rPr>
          <w:b/>
          <w:i w:val="0"/>
        </w:rPr>
        <w:t>Formulations and study choices</w:t>
      </w:r>
    </w:p>
    <w:p>
      <w:pPr>
        <w:pStyle w:val="ListBullet"/>
      </w:pPr>
      <w:r>
        <w:rPr>
          <w:b w:val="0"/>
          <w:i w:val="0"/>
        </w:rPr>
        <w:t>1D transient moisture diffusion</w:t>
      </w:r>
    </w:p>
    <w:p>
      <w:pPr>
        <w:pStyle w:val="ListBullet"/>
      </w:pPr>
      <w:r>
        <w:rPr>
          <w:b w:val="0"/>
          <w:i w:val="0"/>
        </w:rPr>
        <w:t>1D steady-state moisture diffusion</w:t>
      </w:r>
    </w:p>
    <w:p>
      <w:hyperlink r:id="rId20">
        <w:r>
          <w:rPr>
            <w:color w:val="176EA4"/>
          </w:rPr>
          <w:t>∑ Theory &amp; assumptions</w:t>
        </w:r>
      </w:hyperlink>
      <w:r>
        <w:t xml:space="preserve"> </w:t>
      </w:r>
    </w:p>
    <w:p>
      <w:hyperlink r:id="rId21">
        <w:r>
          <w:rPr>
            <w:color w:val="176EA4"/>
          </w:rPr>
          <w:t>Guided exercise &amp; two-layer workflow </w:t>
        </w:r>
      </w:hyperlink>
      <w:r>
        <w:t xml:space="preserve"> </w:t>
      </w:r>
    </w:p>
    <w:p>
      <w:pPr>
        <w:keepNext/>
      </w:pPr>
      <w:r>
        <w:rPr>
          <w:b/>
          <w:i w:val="0"/>
        </w:rPr>
        <w:t xml:space="preserve">∑ </w:t>
      </w:r>
      <w:r>
        <w:rPr>
          <w:b/>
          <w:i w:val="0"/>
        </w:rPr>
        <w:t xml:space="preserve"> </w:t>
      </w:r>
      <w:r>
        <w:rPr>
          <w:b/>
          <w:i w:val="0"/>
        </w:rPr>
        <w:t>D5229 · Moisture uptake calibration</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keepNext/>
      </w:pPr>
      <w:r>
        <w:rPr>
          <w:b/>
          <w:i w:val="0"/>
        </w:rPr>
        <w:t>Formulations and study choices</w:t>
      </w:r>
    </w:p>
    <w:p>
      <w:pPr>
        <w:pStyle w:val="ListBullet"/>
      </w:pPr>
      <w:r>
        <w:rPr>
          <w:b w:val="0"/>
          <w:i w:val="0"/>
        </w:rPr>
        <w:t>Virtual test · Fickian uptake calibration</w:t>
      </w:r>
    </w:p>
    <w:p>
      <w:hyperlink r:id="rId43">
        <w:r>
          <w:rPr>
            <w:color w:val="176EA4"/>
          </w:rPr>
          <w:t>∑ Theory &amp; assumptions</w:t>
        </w:r>
      </w:hyperlink>
      <w:r>
        <w:t xml:space="preserve"> </w:t>
      </w:r>
    </w:p>
    <w:p>
      <w:hyperlink r:id="rId44">
        <w:r>
          <w:rPr>
            <w:color w:val="176EA4"/>
          </w:rPr>
          <w:t>Guided exercise &amp; two-layer workflow </w:t>
        </w:r>
      </w:hyperlink>
      <w:r>
        <w:t xml:space="preserve"> </w:t>
      </w:r>
    </w:p>
    <w:p>
      <w:pPr>
        <w:keepNext/>
      </w:pPr>
      <w:r>
        <w:rPr>
          <w:b/>
          <w:i w:val="0"/>
        </w:rPr>
        <w:t xml:space="preserve">∑ </w:t>
      </w:r>
      <w:r>
        <w:rPr>
          <w:b/>
          <w:i w:val="0"/>
        </w:rPr>
        <w:t xml:space="preserve"> </w:t>
      </w:r>
      <w:r>
        <w:rPr>
          <w:b/>
          <w:i w:val="0"/>
        </w:rPr>
        <w:t>Tool-release shape</w:t>
      </w:r>
    </w:p>
    <w:p>
      <w:pPr/>
      <w:r>
        <w:rPr>
          <w:b w:val="0"/>
          <w:i w:val="0"/>
        </w:rPr>
        <w:t>Structural models → Tool-release shape</w:t>
      </w:r>
    </w:p>
    <w:p>
      <w:r>
        <w:rPr>
          <w:b w:val="0"/>
          <w:i w:val="0"/>
        </w:rPr>
        <w:t>Inputs</w:t>
      </w:r>
      <w:r>
        <w:t xml:space="preserve"> </w:t>
      </w:r>
      <w:r>
        <w:rPr>
          <w:b w:val="0"/>
          <w:i w:val="0"/>
        </w:rPr>
        <w:t>Laminate and prescribed temperatures, CTE and effective post-gel shrinkage</w:t>
      </w:r>
      <w:r>
        <w:t xml:space="preserve"> </w:t>
      </w:r>
      <w:r>
        <w:rPr>
          <w:b w:val="0"/>
          <w:i w:val="0"/>
        </w:rPr>
        <w:t>Results / handoff</w:t>
      </w:r>
      <w:r>
        <w:t xml:space="preserve"> </w:t>
      </w:r>
      <w:r>
        <w:rPr>
          <w:b w:val="0"/>
          <w:i w:val="0"/>
        </w:rPr>
        <w:t>Free-release CLT curvature and separate corner spring-in estimate; not an automatic process-history handoff</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keepNext/>
      </w:pPr>
      <w:r>
        <w:rPr>
          <w:b/>
          <w:i w:val="0"/>
        </w:rPr>
        <w:t>Formulations and study choices</w:t>
      </w:r>
    </w:p>
    <w:p>
      <w:pPr>
        <w:pStyle w:val="ListBullet"/>
      </w:pPr>
      <w:r>
        <w:rPr>
          <w:b w:val="0"/>
          <w:i w:val="0"/>
        </w:rPr>
        <w:t>Free-release eigenstrain &amp; spring-in</w:t>
      </w:r>
    </w:p>
    <w:p>
      <w:hyperlink r:id="rId61">
        <w:r>
          <w:rPr>
            <w:color w:val="176EA4"/>
          </w:rPr>
          <w:t>∑ Theory &amp; assumptions</w:t>
        </w:r>
      </w:hyperlink>
      <w:r>
        <w:t xml:space="preserve"> </w:t>
      </w:r>
    </w:p>
    <w:p>
      <w:hyperlink r:id="rId62">
        <w:r>
          <w:rPr>
            <w:color w:val="176EA4"/>
          </w:rPr>
          <w:t>Guided exercise &amp; two-layer workflow </w:t>
        </w:r>
      </w:hyperlink>
      <w:r>
        <w:t xml:space="preserve"> </w:t>
      </w:r>
    </w:p>
    <w:p>
      <w:hyperlink r:id="rId114">
        <w:r>
          <w:rPr>
            <w:color w:val="176EA4"/>
          </w:rPr>
          <w:t>Next workflow page 03.5 Design →</w:t>
        </w:r>
      </w:hyperlink>
      <w:r>
        <w:t xml:space="preserve"> </w:t>
      </w:r>
    </w:p>
    <w:sectPr w:rsidR="00FC693F" w:rsidRPr="0006063C" w:rsidSect="00034616">
      <w:footerReference w:type="default" r:id="rId9"/>
      <w:pgSz w:w="12240" w:h="15840"/>
      <w:pgMar w:top="1008"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CDS Composites    |    Models &amp; Workflow Manual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mbria" w:hAnsi="Cambr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cstheme="majorBidi" w:ascii="Cambria" w:hAnsi="Cambria"/>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cstheme="majorBidi" w:ascii="Cambria" w:hAnsi="Cambria"/>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cstheme="majorBidi" w:ascii="Cambria" w:hAnsi="Cambr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cstheme="majorBidi" w:ascii="Cambria" w:hAnsi="Cambr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mbria" w:hAnsi="Cambria"/>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dscomposites.com/workflow"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cdscomposites.com/help/structural/fatigue" TargetMode="External"/><Relationship Id="rId14" Type="http://schemas.openxmlformats.org/officeDocument/2006/relationships/hyperlink" Target="https://cdscomposites.com/help/micromechanics/volume-i" TargetMode="External"/><Relationship Id="rId15" Type="http://schemas.openxmlformats.org/officeDocument/2006/relationships/hyperlink" Target="https://cdscomposites.com/getting-started/exercises?exercise=02-halpin" TargetMode="External"/><Relationship Id="rId16" Type="http://schemas.openxmlformats.org/officeDocument/2006/relationships/hyperlink" Target="https://cdscomposites.com/help/processing" TargetMode="External"/><Relationship Id="rId17" Type="http://schemas.openxmlformats.org/officeDocument/2006/relationships/hyperlink" Target="https://cdscomposites.com/getting-started/exercises?exercise=case-process-cure" TargetMode="External"/><Relationship Id="rId18" Type="http://schemas.openxmlformats.org/officeDocument/2006/relationships/hyperlink" Target="https://cdscomposites.com/help/processing/transient-heat" TargetMode="External"/><Relationship Id="rId19" Type="http://schemas.openxmlformats.org/officeDocument/2006/relationships/hyperlink" Target="https://cdscomposites.com/getting-started/exercises?exercise=07-thermal" TargetMode="External"/><Relationship Id="rId20" Type="http://schemas.openxmlformats.org/officeDocument/2006/relationships/hyperlink" Target="https://cdscomposites.com/help/moisture" TargetMode="External"/><Relationship Id="rId21" Type="http://schemas.openxmlformats.org/officeDocument/2006/relationships/hyperlink" Target="https://cdscomposites.com/getting-started/exercises?exercise=08-moisture" TargetMode="External"/><Relationship Id="rId22" Type="http://schemas.openxmlformats.org/officeDocument/2006/relationships/hyperlink" Target="https://cdscomposites.com/help/structural/fsdt" TargetMode="External"/><Relationship Id="rId23" Type="http://schemas.openxmlformats.org/officeDocument/2006/relationships/hyperlink" Target="https://cdscomposites.com/getting-started/exercises?exercise=fsdt-02" TargetMode="External"/><Relationship Id="rId24" Type="http://schemas.openxmlformats.org/officeDocument/2006/relationships/hyperlink" Target="https://cdscomposites.com/help/structural/cylinder-shell" TargetMode="External"/><Relationship Id="rId25" Type="http://schemas.openxmlformats.org/officeDocument/2006/relationships/hyperlink" Target="https://cdscomposites.com/getting-started/exercises?exercise=06-pressure" TargetMode="External"/><Relationship Id="rId26" Type="http://schemas.openxmlformats.org/officeDocument/2006/relationships/hyperlink" Target="https://cdscomposites.com/help/structural/geometry" TargetMode="External"/><Relationship Id="rId27" Type="http://schemas.openxmlformats.org/officeDocument/2006/relationships/hyperlink" Target="https://cdscomposites.com/getting-started/exercises?exercise=05-flexure" TargetMode="External"/><Relationship Id="rId28" Type="http://schemas.openxmlformats.org/officeDocument/2006/relationships/hyperlink" Target="https://cdscomposites.com/help/structural" TargetMode="External"/><Relationship Id="rId29" Type="http://schemas.openxmlformats.org/officeDocument/2006/relationships/hyperlink" Target="https://cdscomposites.com/getting-started/exercises?exercise=simulation-20" TargetMode="External"/><Relationship Id="rId30" Type="http://schemas.openxmlformats.org/officeDocument/2006/relationships/hyperlink" Target="https://cdscomposites.com/getting-started/exercises?exercise=simulation-12" TargetMode="External"/><Relationship Id="rId31" Type="http://schemas.openxmlformats.org/officeDocument/2006/relationships/hyperlink" Target="https://cdscomposites.com/help/laminates" TargetMode="External"/><Relationship Id="rId32" Type="http://schemas.openxmlformats.org/officeDocument/2006/relationships/hyperlink" Target="https://cdscomposites.com/getting-started/exercises?exercise=03-layup" TargetMode="External"/><Relationship Id="rId33" Type="http://schemas.openxmlformats.org/officeDocument/2006/relationships/hyperlink" Target="https://cdscomposites.com/help/virtual-tests#astm_compression" TargetMode="External"/><Relationship Id="rId34" Type="http://schemas.openxmlformats.org/officeDocument/2006/relationships/hyperlink" Target="https://cdscomposites.com/getting-started/exercises?exercise=advanced-astm_compression" TargetMode="External"/><Relationship Id="rId35" Type="http://schemas.openxmlformats.org/officeDocument/2006/relationships/hyperlink" Target="https://cdscomposites.com/help/virtual-tests#astm_shear" TargetMode="External"/><Relationship Id="rId36" Type="http://schemas.openxmlformats.org/officeDocument/2006/relationships/hyperlink" Target="https://cdscomposites.com/getting-started/exercises?exercise=advanced-astm_shear" TargetMode="External"/><Relationship Id="rId37" Type="http://schemas.openxmlformats.org/officeDocument/2006/relationships/hyperlink" Target="https://cdscomposites.com/help/virtual-tests#astm_dcb" TargetMode="External"/><Relationship Id="rId38" Type="http://schemas.openxmlformats.org/officeDocument/2006/relationships/hyperlink" Target="https://cdscomposites.com/getting-started/exercises?exercise=advanced-astm_dcb" TargetMode="External"/><Relationship Id="rId39" Type="http://schemas.openxmlformats.org/officeDocument/2006/relationships/hyperlink" Target="https://cdscomposites.com/help/virtual-tests#astm_enf" TargetMode="External"/><Relationship Id="rId40" Type="http://schemas.openxmlformats.org/officeDocument/2006/relationships/hyperlink" Target="https://cdscomposites.com/getting-started/exercises?exercise=advanced-astm_enf" TargetMode="External"/><Relationship Id="rId41" Type="http://schemas.openxmlformats.org/officeDocument/2006/relationships/hyperlink" Target="https://cdscomposites.com/help/virtual-tests#astm_mmb" TargetMode="External"/><Relationship Id="rId42" Type="http://schemas.openxmlformats.org/officeDocument/2006/relationships/hyperlink" Target="https://cdscomposites.com/getting-started/exercises?exercise=advanced-astm_mmb" TargetMode="External"/><Relationship Id="rId43" Type="http://schemas.openxmlformats.org/officeDocument/2006/relationships/hyperlink" Target="https://cdscomposites.com/help/virtual-tests#astm_conditioning" TargetMode="External"/><Relationship Id="rId44" Type="http://schemas.openxmlformats.org/officeDocument/2006/relationships/hyperlink" Target="https://cdscomposites.com/getting-started/exercises?exercise=advanced-astm_conditioning" TargetMode="External"/><Relationship Id="rId45" Type="http://schemas.openxmlformats.org/officeDocument/2006/relationships/hyperlink" Target="https://cdscomposites.com/help/virtual-tests#astm_bearing" TargetMode="External"/><Relationship Id="rId46" Type="http://schemas.openxmlformats.org/officeDocument/2006/relationships/hyperlink" Target="https://cdscomposites.com/getting-started/exercises?exercise=advanced-astm_bearing" TargetMode="External"/><Relationship Id="rId47" Type="http://schemas.openxmlformats.org/officeDocument/2006/relationships/hyperlink" Target="https://cdscomposites.com/help/virtual-tests#astm_ohc" TargetMode="External"/><Relationship Id="rId48" Type="http://schemas.openxmlformats.org/officeDocument/2006/relationships/hyperlink" Target="https://cdscomposites.com/getting-started/exercises?exercise=advanced-astm_ohc" TargetMode="External"/><Relationship Id="rId49" Type="http://schemas.openxmlformats.org/officeDocument/2006/relationships/hyperlink" Target="https://cdscomposites.com/help/virtual-tests#astm_filled" TargetMode="External"/><Relationship Id="rId50" Type="http://schemas.openxmlformats.org/officeDocument/2006/relationships/hyperlink" Target="https://cdscomposites.com/getting-started/exercises?exercise=advanced-astm_filled" TargetMode="External"/><Relationship Id="rId51" Type="http://schemas.openxmlformats.org/officeDocument/2006/relationships/hyperlink" Target="https://cdscomposites.com/help/virtual-tests#astm_impact_cai" TargetMode="External"/><Relationship Id="rId52" Type="http://schemas.openxmlformats.org/officeDocument/2006/relationships/hyperlink" Target="https://cdscomposites.com/getting-started/exercises?exercise=advanced-astm_impact_cai" TargetMode="External"/><Relationship Id="rId53" Type="http://schemas.openxmlformats.org/officeDocument/2006/relationships/hyperlink" Target="https://cdscomposites.com/help/advanced-models#notch" TargetMode="External"/><Relationship Id="rId54" Type="http://schemas.openxmlformats.org/officeDocument/2006/relationships/hyperlink" Target="https://cdscomposites.com/getting-started/exercises?exercise=advanced-notch" TargetMode="External"/><Relationship Id="rId55" Type="http://schemas.openxmlformats.org/officeDocument/2006/relationships/hyperlink" Target="https://cdscomposites.com/help/advanced-models#viscoelastic" TargetMode="External"/><Relationship Id="rId56" Type="http://schemas.openxmlformats.org/officeDocument/2006/relationships/hyperlink" Target="https://cdscomposites.com/getting-started/exercises?exercise=advanced-viscoelastic" TargetMode="External"/><Relationship Id="rId57" Type="http://schemas.openxmlformats.org/officeDocument/2006/relationships/hyperlink" Target="https://cdscomposites.com/help/advanced-models#bonded_joint" TargetMode="External"/><Relationship Id="rId58" Type="http://schemas.openxmlformats.org/officeDocument/2006/relationships/hyperlink" Target="https://cdscomposites.com/getting-started/exercises?exercise=advanced-bonded_joint" TargetMode="External"/><Relationship Id="rId59" Type="http://schemas.openxmlformats.org/officeDocument/2006/relationships/hyperlink" Target="https://cdscomposites.com/help/advanced-models#larc04" TargetMode="External"/><Relationship Id="rId60" Type="http://schemas.openxmlformats.org/officeDocument/2006/relationships/hyperlink" Target="https://cdscomposites.com/getting-started/exercises?exercise=advanced-larc04" TargetMode="External"/><Relationship Id="rId61" Type="http://schemas.openxmlformats.org/officeDocument/2006/relationships/hyperlink" Target="https://cdscomposites.com/help/advanced-models#cure_shape" TargetMode="External"/><Relationship Id="rId62" Type="http://schemas.openxmlformats.org/officeDocument/2006/relationships/hyperlink" Target="https://cdscomposites.com/getting-started/exercises?exercise=advanced-cure_shape" TargetMode="External"/><Relationship Id="rId63" Type="http://schemas.openxmlformats.org/officeDocument/2006/relationships/hyperlink" Target="https://cdscomposites.com/help/advanced-models#fatigue_residual" TargetMode="External"/><Relationship Id="rId64" Type="http://schemas.openxmlformats.org/officeDocument/2006/relationships/hyperlink" Target="https://cdscomposites.com/getting-started/exercises?exercise=advanced-fatigue_residual" TargetMode="External"/><Relationship Id="rId65" Type="http://schemas.openxmlformats.org/officeDocument/2006/relationships/hyperlink" Target="https://cdscomposites.com/help/advanced-models#shell_buckling" TargetMode="External"/><Relationship Id="rId66" Type="http://schemas.openxmlformats.org/officeDocument/2006/relationships/hyperlink" Target="https://cdscomposites.com/getting-started/exercises?exercise=advanced-shell_buckling" TargetMode="External"/><Relationship Id="rId67" Type="http://schemas.openxmlformats.org/officeDocument/2006/relationships/hyperlink" Target="https://cdscomposites.com/help/advanced-models#uncertainty" TargetMode="External"/><Relationship Id="rId68" Type="http://schemas.openxmlformats.org/officeDocument/2006/relationships/hyperlink" Target="https://cdscomposites.com/getting-started/exercises?exercise=advanced-uncertainty" TargetMode="External"/><Relationship Id="rId69" Type="http://schemas.openxmlformats.org/officeDocument/2006/relationships/hyperlink" Target="https://cdscomposites.com/help/electromagnetics#em_wiener" TargetMode="External"/><Relationship Id="rId70" Type="http://schemas.openxmlformats.org/officeDocument/2006/relationships/hyperlink" Target="https://cdscomposites.com/getting-started/exercises?exercise=advanced-em_wiener" TargetMode="External"/><Relationship Id="rId71" Type="http://schemas.openxmlformats.org/officeDocument/2006/relationships/hyperlink" Target="https://cdscomposites.com/help/electromagnetics#em_looyenga" TargetMode="External"/><Relationship Id="rId72" Type="http://schemas.openxmlformats.org/officeDocument/2006/relationships/hyperlink" Target="https://cdscomposites.com/getting-started/exercises?exercise=advanced-em_looyenga" TargetMode="External"/><Relationship Id="rId73" Type="http://schemas.openxmlformats.org/officeDocument/2006/relationships/hyperlink" Target="https://cdscomposites.com/help/electromagnetics#em_maxwell-garnett" TargetMode="External"/><Relationship Id="rId74" Type="http://schemas.openxmlformats.org/officeDocument/2006/relationships/hyperlink" Target="https://cdscomposites.com/getting-started/exercises?exercise=advanced-em_maxwell-garnett" TargetMode="External"/><Relationship Id="rId75" Type="http://schemas.openxmlformats.org/officeDocument/2006/relationships/hyperlink" Target="https://cdscomposites.com/help/electromagnetics#em_tmm-normal" TargetMode="External"/><Relationship Id="rId76" Type="http://schemas.openxmlformats.org/officeDocument/2006/relationships/hyperlink" Target="https://cdscomposites.com/getting-started/exercises?exercise=advanced-em_tmm-normal" TargetMode="External"/><Relationship Id="rId77" Type="http://schemas.openxmlformats.org/officeDocument/2006/relationships/hyperlink" Target="https://cdscomposites.com/help/electromagnetics#em_bruggeman" TargetMode="External"/><Relationship Id="rId78" Type="http://schemas.openxmlformats.org/officeDocument/2006/relationships/hyperlink" Target="https://cdscomposites.com/getting-started/exercises?exercise=advanced-em_bruggeman" TargetMode="External"/><Relationship Id="rId79" Type="http://schemas.openxmlformats.org/officeDocument/2006/relationships/hyperlink" Target="https://cdscomposites.com/help/electromagnetics#em_mori-tanaka" TargetMode="External"/><Relationship Id="rId80" Type="http://schemas.openxmlformats.org/officeDocument/2006/relationships/hyperlink" Target="https://cdscomposites.com/getting-started/exercises?exercise=advanced-em_mori-tanaka" TargetMode="External"/><Relationship Id="rId81" Type="http://schemas.openxmlformats.org/officeDocument/2006/relationships/hyperlink" Target="https://cdscomposites.com/help/electromagnetics#em_self-consistent" TargetMode="External"/><Relationship Id="rId82" Type="http://schemas.openxmlformats.org/officeDocument/2006/relationships/hyperlink" Target="https://cdscomposites.com/getting-started/exercises?exercise=advanced-em_self-consistent" TargetMode="External"/><Relationship Id="rId83" Type="http://schemas.openxmlformats.org/officeDocument/2006/relationships/hyperlink" Target="https://cdscomposites.com/help/electromagnetics#em_dem" TargetMode="External"/><Relationship Id="rId84" Type="http://schemas.openxmlformats.org/officeDocument/2006/relationships/hyperlink" Target="https://cdscomposites.com/getting-started/exercises?exercise=advanced-em_dem" TargetMode="External"/><Relationship Id="rId85" Type="http://schemas.openxmlformats.org/officeDocument/2006/relationships/hyperlink" Target="https://cdscomposites.com/help/electromagnetics#em_coated" TargetMode="External"/><Relationship Id="rId86" Type="http://schemas.openxmlformats.org/officeDocument/2006/relationships/hyperlink" Target="https://cdscomposites.com/getting-started/exercises?exercise=advanced-em_coated" TargetMode="External"/><Relationship Id="rId87" Type="http://schemas.openxmlformats.org/officeDocument/2006/relationships/hyperlink" Target="https://cdscomposites.com/help/electromagnetics#em_multiphase" TargetMode="External"/><Relationship Id="rId88" Type="http://schemas.openxmlformats.org/officeDocument/2006/relationships/hyperlink" Target="https://cdscomposites.com/getting-started/exercises?exercise=advanced-em_multiphase" TargetMode="External"/><Relationship Id="rId89" Type="http://schemas.openxmlformats.org/officeDocument/2006/relationships/hyperlink" Target="https://cdscomposites.com/help/electromagnetics#em_tmm-oblique" TargetMode="External"/><Relationship Id="rId90" Type="http://schemas.openxmlformats.org/officeDocument/2006/relationships/hyperlink" Target="https://cdscomposites.com/getting-started/exercises?exercise=advanced-em_tmm-oblique" TargetMode="External"/><Relationship Id="rId91" Type="http://schemas.openxmlformats.org/officeDocument/2006/relationships/hyperlink" Target="https://cdscomposites.com/help/electromagnetics#em_tlm" TargetMode="External"/><Relationship Id="rId92" Type="http://schemas.openxmlformats.org/officeDocument/2006/relationships/hyperlink" Target="https://cdscomposites.com/getting-started/exercises?exercise=advanced-em_tlm" TargetMode="External"/><Relationship Id="rId93" Type="http://schemas.openxmlformats.org/officeDocument/2006/relationships/hyperlink" Target="https://cdscomposites.com/help/electromagnetics#em_bloch" TargetMode="External"/><Relationship Id="rId94" Type="http://schemas.openxmlformats.org/officeDocument/2006/relationships/hyperlink" Target="https://cdscomposites.com/getting-started/exercises?exercise=advanced-em_bloch" TargetMode="External"/><Relationship Id="rId95" Type="http://schemas.openxmlformats.org/officeDocument/2006/relationships/hyperlink" Target="https://cdscomposites.com/getting-started/connected-workbench" TargetMode="External"/><Relationship Id="rId96" Type="http://schemas.openxmlformats.org/officeDocument/2006/relationships/hyperlink" Target="https://cdscomposites.com/help/electromagnetics" TargetMode="External"/><Relationship Id="rId97" Type="http://schemas.openxmlformats.org/officeDocument/2006/relationships/hyperlink" Target="https://cdscomposites.com/workflow/automate" TargetMode="External"/><Relationship Id="rId98" Type="http://schemas.openxmlformats.org/officeDocument/2006/relationships/hyperlink" Target="https://cdscomposites.com/images/workbench/carpet-live-laminate.jpg" TargetMode="External"/><Relationship Id="rId99" Type="http://schemas.openxmlformats.org/officeDocument/2006/relationships/image" Target="media/image3.png"/><Relationship Id="rId100" Type="http://schemas.openxmlformats.org/officeDocument/2006/relationships/image" Target="media/image4.png"/><Relationship Id="rId101" Type="http://schemas.openxmlformats.org/officeDocument/2006/relationships/hyperlink" Target="https://cdscomposites.com/workflow/models" TargetMode="External"/><Relationship Id="rId102" Type="http://schemas.openxmlformats.org/officeDocument/2006/relationships/hyperlink" Target="https://cdscomposites.com/help/materials/cure-kinetics" TargetMode="External"/><Relationship Id="rId103" Type="http://schemas.openxmlformats.org/officeDocument/2006/relationships/hyperlink" Target="https://cdscomposites.com/help/materials/crystallization-kinetics" TargetMode="External"/><Relationship Id="rId104" Type="http://schemas.openxmlformats.org/officeDocument/2006/relationships/hyperlink" Target="https://cdscomposites.com/getting-started/exercises?exercise=07-pultrusion-intro" TargetMode="External"/><Relationship Id="rId105" Type="http://schemas.openxmlformats.org/officeDocument/2006/relationships/hyperlink" Target="https://cdscomposites.com/getting-started/exercises?exercise=07-uv-cure" TargetMode="External"/><Relationship Id="rId106" Type="http://schemas.openxmlformats.org/officeDocument/2006/relationships/hyperlink" Target="https://cdscomposites.com/help/structural/cylinder-hyer" TargetMode="External"/><Relationship Id="rId107" Type="http://schemas.openxmlformats.org/officeDocument/2006/relationships/hyperlink" Target="https://cdscomposites.com/help/laminates/cohesive-delamination" TargetMode="External"/><Relationship Id="rId108" Type="http://schemas.openxmlformats.org/officeDocument/2006/relationships/hyperlink" Target="https://cdscomposites.com/help/laminates/failure-criteria" TargetMode="External"/><Relationship Id="rId109" Type="http://schemas.openxmlformats.org/officeDocument/2006/relationships/hyperlink" Target="https://cdscomposites.com/help/laminates/workbench-methods" TargetMode="External"/><Relationship Id="rId110" Type="http://schemas.openxmlformats.org/officeDocument/2006/relationships/hyperlink" Target="https://cdscomposites.com/capabilities/workspace" TargetMode="External"/><Relationship Id="rId111" Type="http://schemas.openxmlformats.org/officeDocument/2006/relationships/hyperlink" Target="https://cdscomposites.com/workflow/cloud" TargetMode="External"/><Relationship Id="rId112" Type="http://schemas.openxmlformats.org/officeDocument/2006/relationships/hyperlink" Target="https://cdscomposites.com/getting-started/workbench#interactive-blocks" TargetMode="External"/><Relationship Id="rId113" Type="http://schemas.openxmlformats.org/officeDocument/2006/relationships/hyperlink" Target="https://cdscomposites.com/workflow/materials" TargetMode="External"/><Relationship Id="rId114" Type="http://schemas.openxmlformats.org/officeDocument/2006/relationships/hyperlink" Target="https://cdscomposites.com/workflow/design" TargetMode="External"/><Relationship Id="rId115" Type="http://schemas.openxmlformats.org/officeDocument/2006/relationships/hyperlink" Target="https://cdscomposites.com/workflow/laminates" TargetMode="External"/><Relationship Id="rId116" Type="http://schemas.openxmlformats.org/officeDocument/2006/relationships/image" Target="media/image5.png"/><Relationship Id="rId117" Type="http://schemas.openxmlformats.org/officeDocument/2006/relationships/hyperlink" Target="https://cdscomposites.com/workflow/processing" TargetMode="External"/><Relationship Id="rId118" Type="http://schemas.openxmlformats.org/officeDocument/2006/relationships/hyperlink" Target="https://cdscomposites.com/workflow/micromechanics" TargetMode="External"/><Relationship Id="rId119" Type="http://schemas.openxmlformats.org/officeDocument/2006/relationships/image" Target="media/image6.png"/><Relationship Id="rId120" Type="http://schemas.openxmlformats.org/officeDocument/2006/relationships/image" Target="media/image7.png"/><Relationship Id="rId121" Type="http://schemas.openxmlformats.org/officeDocument/2006/relationships/image" Target="media/image8.png"/><Relationship Id="rId1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Models &amp; Workflow Manual</dc:title>
  <dc:subject/>
  <dc:creator>CDS Composites</dc:creator>
  <cp:keywords/>
  <dc:description>generated by python-docx</dc:description>
  <cp:lastModifiedBy/>
  <cp:revision>1</cp:revision>
  <dcterms:created xsi:type="dcterms:W3CDTF">2013-12-23T23:15:00Z</dcterms:created>
  <dcterms:modified xsi:type="dcterms:W3CDTF">2013-12-23T23:15:00Z</dcterms:modified>
  <cp:category/>
</cp:coreProperties>
</file>