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CDS Getting Started Handbook</w:t>
      </w:r>
    </w:p>
    <w:p>
      <w:r>
        <w:t>Release edition 18 September 2026</w:t>
      </w:r>
    </w:p>
    <w:p>
      <w:r>
        <w:t>This handbook takes a new user from constituent records to a connected laminate analysis. Begin with the quick start, inspect the linked materials and laminate, and run the active simulation before interpreting its outputs. If inputs change, check the result status and rerun calculations that are no longer current.</w:t>
      </w:r>
    </w:p>
    <w:p>
      <w:pPr>
        <w:pStyle w:val="Heading2"/>
      </w:pPr>
      <w:r>
        <w:t>How to use this manual</w:t>
      </w:r>
    </w:p>
    <w:p>
      <w:r>
        <w:t>Read the assumptions before choosing a model. Keep units consistent, inspect solver notices and use the recorded checks to distinguish a completed calculation from a validated result. Chapter links lead to the interactive website; exercise links open the Workbench. Account-controlled database downloads and classroom materials remain subject to their existing access rules.</w:t>
      </w:r>
    </w:p>
    <w:p>
      <w:r>
        <w:t>Equations are editable Word mathematics. This PDF is exported from the same Word document. Historical reference chapters retain their stated scope; the current workflow and exercise chapters describe the available CDS implementation.</w:t>
      </w:r>
    </w:p>
    <w:p>
      <w:r>
        <w:br w:type="page"/>
      </w:r>
    </w:p>
    <w:p>
      <w:pPr>
        <w:pStyle w:val="Heading1"/>
      </w:pPr>
      <w:r>
        <w:t>Contents</w:t>
      </w:r>
    </w:p>
    <w:p>
      <w:hyperlink w:anchor="chapter_1">
        <w:r>
          <w:t>1  Get started with the CDS Workbench.</w:t>
        </w:r>
      </w:hyperlink>
    </w:p>
    <w:p>
      <w:hyperlink w:anchor="chapter_2">
        <w:r>
          <w:t>2  Navigate the Workbench workspace.</w:t>
        </w:r>
      </w:hyperlink>
    </w:p>
    <w:p>
      <w:hyperlink w:anchor="chapter_3">
        <w:r>
          <w:t>3  Use the interface deliberately and efficiently.</w:t>
        </w:r>
      </w:hyperlink>
    </w:p>
    <w:p>
      <w:hyperlink w:anchor="chapter_4">
        <w:r>
          <w:t>4  Keep the model connected and the result traceable.</w:t>
        </w:r>
      </w:hyperlink>
    </w:p>
    <w:p>
      <w:hyperlink w:anchor="chapter_5">
        <w:r>
          <w:t>5  Create and manage material records.</w:t>
        </w:r>
      </w:hyperlink>
    </w:p>
    <w:p>
      <w:hyperlink w:anchor="chapter_6">
        <w:r>
          <w:t>6  Build laminas and laminate families.</w:t>
        </w:r>
      </w:hyperlink>
    </w:p>
    <w:p>
      <w:hyperlink w:anchor="chapter_7">
        <w:r>
          <w:t>7  Prepare, visualize, optimize, and run analysis cases.</w:t>
        </w:r>
      </w:hyperlink>
    </w:p>
    <w:p>
      <w:hyperlink w:anchor="chapter_8">
        <w:r>
          <w:t>8  Exercise validation study evidence, not blanket passes.</w:t>
        </w:r>
      </w:hyperlink>
    </w:p>
    <w:p>
      <w:bookmarkStart w:id="1" w:name="chapter_1"/>
      <w:pPr>
        <w:pStyle w:val="Heading1"/>
        <w:pageBreakBefore/>
      </w:pPr>
      <w:r>
        <w:t>1 Get started with the CDS Workbench</w:t>
      </w:r>
      <w:bookmarkEnd w:id="1"/>
    </w:p>
    <w:p>
      <w:pPr>
        <w:pStyle w:val="Caption"/>
      </w:pPr>
      <w:hyperlink r:id="rId10">
        <w:r>
          <w:rPr>
            <w:color w:val="176EA4"/>
          </w:rPr>
          <w:t>Online chapter</w:t>
        </w:r>
      </w:hyperlink>
      <w:r>
        <w:t xml:space="preserve"> </w:t>
      </w:r>
    </w:p>
    <w:p>
      <w:pPr/>
      <w:r>
        <w:rPr>
          <w:b w:val="0"/>
          <w:i w:val="0"/>
        </w:rPr>
        <w:t>A short path from sign-in and a safe first edit to a verified solver run.</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r>
        <w:t>Trace the selected input path</w:t>
      </w:r>
    </w:p>
    <w:p>
      <w:r>
        <w:t>Ply property source</w:t>
      </w:r>
    </w:p>
    <w:p>
      <w:r>
        <w:t>Include thermal analysis</w:t>
      </w:r>
    </w:p>
    <w:p>
      <w:r>
        <w:t>Include moisture analysis</w:t>
      </w:r>
    </w:p>
    <w:p>
      <w:r>
        <w:t>Include optional fatigue assessment</w:t>
      </w:r>
    </w:p>
    <w:p>
      <w:pPr/>
      <w:r>
        <w:rPr>
          <w:b w:val="0"/>
          <w:i w:val="0"/>
        </w:rPr>
        <w:t>Stored ply properties bypass Micro. Mixed stacks keep both paths. Gray blocks are not selected. Geometry, process schedules and other model records are omitted here for clarity; a real run must include all required references.</w:t>
      </w:r>
    </w:p>
    <w:p>
      <w:pPr/>
      <w:r>
        <w:rPr>
          <w:b w:val="0"/>
          <w:i w:val="0"/>
        </w:rPr>
        <w:t>Fatigue uses intact CLT endpoint stresses and measured S–N calibration. It is evaluated separately from Run and progressive failure. The dashed handoff is not active: optimization still uses current properties until a degradation law is supplied.</w:t>
      </w:r>
    </w:p>
    <w:p>
      <w:pPr>
        <w:keepNext w:val="0"/>
        <w:jc w:val="center"/>
      </w:pPr>
      <w:r>
        <w:drawing>
          <wp:inline xmlns:a="http://schemas.openxmlformats.org/drawingml/2006/main" xmlns:pic="http://schemas.openxmlformats.org/drawingml/2006/picture">
            <wp:extent cx="6217920" cy="1935767"/>
            <wp:docPr id="1" name="Picture 1" descr="CDS workflow or model illustration"/>
            <wp:cNvGraphicFramePr>
              <a:graphicFrameLocks noChangeAspect="1"/>
            </wp:cNvGraphicFramePr>
            <a:graphic>
              <a:graphicData uri="http://schemas.openxmlformats.org/drawingml/2006/picture">
                <pic:pic>
                  <pic:nvPicPr>
                    <pic:cNvPr id="0" name="rsvg-615023cf647a6b49632caca708c0ff60ff2cc31c35130238cbb49066f80dac56.png"/>
                    <pic:cNvPicPr/>
                  </pic:nvPicPr>
                  <pic:blipFill>
                    <a:blip r:embed="rId13"/>
                    <a:stretch>
                      <a:fillRect/>
                    </a:stretch>
                  </pic:blipFill>
                  <pic:spPr>
                    <a:xfrm>
                      <a:off x="0" y="0"/>
                      <a:ext cx="6217920" cy="1935767"/>
                    </a:xfrm>
                    <a:prstGeom prst="rect"/>
                  </pic:spPr>
                </pic:pic>
              </a:graphicData>
            </a:graphic>
          </wp:inline>
        </w:drawing>
      </w:r>
    </w:p>
    <w:p>
      <w:pPr/>
      <w:r>
        <w:rPr>
          <w:b w:val="0"/>
          <w:i w:val="0"/>
        </w:rPr>
        <w:t>Materials → Micro → Laminate.</w:t>
      </w:r>
    </w:p>
    <w:p>
      <w:pPr/>
      <w:hyperlink r:id="rId14">
        <w:r>
          <w:rPr>
            <w:color w:val="176EA4"/>
          </w:rPr>
          <w:t>All exercises, case studies and simulation examples →</w:t>
        </w:r>
      </w:hyperlink>
      <w:r>
        <w:t xml:space="preserve"> </w:t>
      </w:r>
      <w:r>
        <w:rPr>
          <w:b w:val="0"/>
          <w:i w:val="0"/>
        </w:rPr>
        <w:t xml:space="preserve"> · </w:t>
      </w:r>
      <w:hyperlink r:id="rId12">
        <w:r>
          <w:rPr>
            <w:color w:val="176EA4"/>
          </w:rPr>
          <w:t>Your CDS library: overview, manuals and database downloads →</w:t>
        </w:r>
      </w:hyperlink>
      <w:r>
        <w:t xml:space="preserve"> </w:t>
      </w:r>
    </w:p>
    <w:p>
      <w:pPr>
        <w:pStyle w:val="Heading2"/>
      </w:pPr>
      <w:r>
        <w:t>Open the Workbench</w:t>
      </w:r>
    </w:p>
    <w:p>
      <w:pPr/>
      <w:r>
        <w:rPr>
          <w:b w:val="0"/>
          <w:i w:val="0"/>
        </w:rPr>
        <w:t>Register and verify your CDS account, then sign in and choose SIMULATE to launch Workbench. Account registration is required, including for the 30-day demo. Your active license determines permitted modules and models.</w:t>
      </w:r>
    </w:p>
    <w:p>
      <w:pPr>
        <w:pStyle w:val="ListBullet"/>
      </w:pPr>
      <w:r>
        <w:rPr>
          <w:b w:val="0"/>
          <w:i w:val="0"/>
        </w:rPr>
        <w:t>Confirm the correct account is signed in.</w:t>
      </w:r>
    </w:p>
    <w:p>
      <w:pPr>
        <w:pStyle w:val="ListBullet"/>
      </w:pPr>
      <w:r>
        <w:rPr>
          <w:b w:val="0"/>
          <w:i w:val="0"/>
        </w:rPr>
        <w:t>Choose a starter exercise or open your saved CDS database. Save current work before replacing the workspace.</w:t>
      </w:r>
    </w:p>
    <w:p>
      <w:pPr>
        <w:pStyle w:val="ListBullet"/>
      </w:pPr>
      <w:r>
        <w:rPr>
          <w:b w:val="0"/>
          <w:i w:val="0"/>
        </w:rPr>
        <w:t>Use CREATE for a guided starting design, DISCOVER for exploration, or SIMULATE for the standard workspace.</w:t>
      </w:r>
    </w:p>
    <w:p>
      <w:pPr>
        <w:pStyle w:val="Heading2"/>
      </w:pPr>
      <w:r>
        <w:t>Understand the workspace</w:t>
      </w:r>
    </w:p>
    <w:p>
      <w:pPr/>
      <w:r>
        <w:rPr>
          <w:b w:val="0"/>
          <w:i w:val="0"/>
        </w:rPr>
        <w:t>The compact project tree is on the left, the selected record editor occupies the main workspace, and the result summary remains visually separate. Single-click selects a record; use its chevron or double-click the row to open children.</w:t>
      </w:r>
    </w:p>
    <w:p>
      <w:pPr>
        <w:keepNext/>
        <w:jc w:val="center"/>
      </w:pPr>
      <w:r>
        <w:drawing>
          <wp:inline xmlns:a="http://schemas.openxmlformats.org/drawingml/2006/main" xmlns:pic="http://schemas.openxmlformats.org/drawingml/2006/picture">
            <wp:extent cx="6217920" cy="4304354"/>
            <wp:docPr id="2" name="Picture 2" descr="Navigate in the left tree, edit the selected record above, and review outputs below."/>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15"/>
                    <a:stretch>
                      <a:fillRect/>
                    </a:stretch>
                  </pic:blipFill>
                  <pic:spPr>
                    <a:xfrm>
                      <a:off x="0" y="0"/>
                      <a:ext cx="6217920" cy="4304354"/>
                    </a:xfrm>
                    <a:prstGeom prst="rect"/>
                  </pic:spPr>
                </pic:pic>
              </a:graphicData>
            </a:graphic>
          </wp:inline>
        </w:drawing>
      </w:r>
    </w:p>
    <w:p>
      <w:pPr>
        <w:pStyle w:val="Caption"/>
      </w:pPr>
      <w:r>
        <w:rPr>
          <w:b w:val="0"/>
          <w:i w:val="0"/>
        </w:rPr>
        <w:t>Navigate in the left tree, edit the selected record above, and review outputs below.</w:t>
      </w:r>
      <w:r>
        <w:rPr>
          <w:b w:val="0"/>
          <w:i w:val="0"/>
        </w:rPr>
        <w:t xml:space="preserve"> </w:t>
      </w:r>
      <w:r>
        <w:rPr>
          <w:b w:val="0"/>
          <w:i w:val="0"/>
        </w:rPr>
        <w:t xml:space="preserve"> </w:t>
      </w:r>
      <w:hyperlink r:id="rId1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Use Materials, Micro, Laminates and Geometry to prepare inputs. Thermal, Moisture, Mechanical and EM CASES own their models and cycles. Choose the run combination in the SIMULATION block.</w:t>
      </w:r>
    </w:p>
    <w:p>
      <w:pPr>
        <w:pStyle w:val="Heading2"/>
      </w:pPr>
      <w:r>
        <w:t>Make your first edit</w:t>
      </w:r>
    </w:p>
    <w:p>
      <w:pPr/>
      <w:r>
        <w:rPr>
          <w:b w:val="0"/>
          <w:i w:val="0"/>
        </w:rPr>
        <w:t>Duplicate a teaching record, unlock one property, enter a valid numeric value, confirm its units, and lock it again.</w:t>
      </w:r>
    </w:p>
    <w:p>
      <w:pPr>
        <w:pStyle w:val="ListBullet"/>
      </w:pPr>
      <w:r>
        <w:rPr>
          <w:b w:val="0"/>
          <w:i w:val="0"/>
        </w:rPr>
        <w:t>Select the record.</w:t>
      </w:r>
      <w:r>
        <w:rPr>
          <w:b w:val="0"/>
          <w:i w:val="0"/>
        </w:rPr>
        <w:t xml:space="preserve"> </w:t>
      </w:r>
      <w:r>
        <w:rPr>
          <w:b w:val="0"/>
          <w:i w:val="0"/>
        </w:rPr>
        <w:t xml:space="preserve"> </w:t>
      </w:r>
      <w:hyperlink r:id="rId17">
        <w:r>
          <w:rPr>
            <w:color w:val="176EA4"/>
          </w:rPr>
          <w:t>See screenshot</w:t>
        </w:r>
      </w:hyperlink>
      <w:r>
        <w:t xml:space="preserve"> </w:t>
      </w:r>
    </w:p>
    <w:p>
      <w:pPr>
        <w:pStyle w:val="ListBullet"/>
      </w:pPr>
      <w:r>
        <w:rPr>
          <w:b w:val="0"/>
          <w:i w:val="0"/>
        </w:rPr>
        <w:t>Find the property by its name and description.</w:t>
      </w:r>
      <w:r>
        <w:rPr>
          <w:b w:val="0"/>
          <w:i w:val="0"/>
        </w:rPr>
        <w:t xml:space="preserve"> </w:t>
      </w:r>
      <w:r>
        <w:rPr>
          <w:b w:val="0"/>
          <w:i w:val="0"/>
        </w:rPr>
        <w:t xml:space="preserve"> </w:t>
      </w:r>
      <w:hyperlink r:id="rId17">
        <w:r>
          <w:rPr>
            <w:color w:val="176EA4"/>
          </w:rPr>
          <w:t>See screenshot</w:t>
        </w:r>
      </w:hyperlink>
      <w:r>
        <w:t xml:space="preserve"> </w:t>
      </w:r>
    </w:p>
    <w:p>
      <w:pPr>
        <w:pStyle w:val="ListBullet"/>
      </w:pPr>
      <w:r>
        <w:rPr>
          <w:b w:val="0"/>
          <w:i w:val="0"/>
        </w:rPr>
        <w:t>Unlock the row, edit the value, then lock it.</w:t>
      </w:r>
      <w:r>
        <w:rPr>
          <w:b w:val="0"/>
          <w:i w:val="0"/>
        </w:rPr>
        <w:t xml:space="preserve"> </w:t>
      </w:r>
      <w:r>
        <w:rPr>
          <w:b w:val="0"/>
          <w:i w:val="0"/>
        </w:rPr>
        <w:t xml:space="preserve"> </w:t>
      </w:r>
      <w:hyperlink r:id="rId17">
        <w:r>
          <w:rPr>
            <w:color w:val="176EA4"/>
          </w:rPr>
          <w:t>See screenshot</w:t>
        </w:r>
      </w:hyperlink>
      <w:r>
        <w:t xml:space="preserve"> </w:t>
      </w:r>
    </w:p>
    <w:p>
      <w:pPr>
        <w:pStyle w:val="ListBullet"/>
      </w:pPr>
      <w:r>
        <w:rPr>
          <w:b w:val="0"/>
          <w:i w:val="0"/>
        </w:rPr>
        <w:t>Save the record and keep a dependency-complete CDS database checkpoint.</w:t>
      </w:r>
    </w:p>
    <w:p>
      <w:pPr>
        <w:keepNext/>
        <w:jc w:val="center"/>
      </w:pPr>
      <w:r>
        <w:drawing>
          <wp:inline xmlns:a="http://schemas.openxmlformats.org/drawingml/2006/main" xmlns:pic="http://schemas.openxmlformats.org/drawingml/2006/picture">
            <wp:extent cx="6217920" cy="4304354"/>
            <wp:docPr id="3" name="Picture 3" descr="Find the variable, confirm its units, then use the row lock and numeric value. Save is at the top right."/>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15"/>
                    <a:stretch>
                      <a:fillRect/>
                    </a:stretch>
                  </pic:blipFill>
                  <pic:spPr>
                    <a:xfrm>
                      <a:off x="0" y="0"/>
                      <a:ext cx="6217920" cy="4304354"/>
                    </a:xfrm>
                    <a:prstGeom prst="rect"/>
                  </pic:spPr>
                </pic:pic>
              </a:graphicData>
            </a:graphic>
          </wp:inline>
        </w:drawing>
      </w:r>
    </w:p>
    <w:p>
      <w:pPr>
        <w:pStyle w:val="Caption"/>
      </w:pPr>
      <w:r>
        <w:rPr>
          <w:b/>
          <w:i w:val="0"/>
        </w:rPr>
        <w:t xml:space="preserve">Steps </w:t>
      </w:r>
      <w:r>
        <w:rPr>
          <w:b/>
          <w:i w:val="0"/>
        </w:rPr>
        <w:t xml:space="preserve"> </w:t>
      </w:r>
      <w:r>
        <w:rPr>
          <w:b/>
          <w:i w:val="0"/>
        </w:rPr>
        <w:t>1, 2, 3</w:t>
      </w:r>
      <w:r>
        <w:rPr>
          <w:b/>
          <w:i w:val="0"/>
        </w:rPr>
        <w:t xml:space="preserve"> </w:t>
      </w:r>
      <w:r>
        <w:rPr>
          <w:b/>
          <w:i w:val="0"/>
        </w:rPr>
        <w:t xml:space="preserve"> · </w:t>
      </w:r>
      <w:r>
        <w:rPr>
          <w:b w:val="0"/>
          <w:i w:val="0"/>
        </w:rPr>
        <w:t>Find the variable, confirm its units, then use the row lock and numeric value. Save is at the top right.</w:t>
      </w:r>
      <w:r>
        <w:rPr>
          <w:b w:val="0"/>
          <w:i w:val="0"/>
        </w:rPr>
        <w:t xml:space="preserve"> </w:t>
      </w:r>
      <w:r>
        <w:rPr>
          <w:b w:val="0"/>
          <w:i w:val="0"/>
        </w:rPr>
        <w:t xml:space="preserve"> </w:t>
      </w:r>
      <w:hyperlink r:id="rId1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pStyle w:val="Heading2"/>
      </w:pPr>
      <w:r>
        <w:t>Run and review a case</w:t>
      </w:r>
    </w:p>
    <w:p>
      <w:pPr/>
      <w:r>
        <w:rPr>
          <w:b w:val="0"/>
          <w:i w:val="0"/>
        </w:rPr>
        <w:t>Select a simulation and inspect its connected inputs and model choices in the Simulation workflow. Eligible quick studies refresh after editing pauses; longer calculations require Run.</w:t>
      </w:r>
    </w:p>
    <w:p>
      <w:pPr>
        <w:pStyle w:val="ListBullet"/>
      </w:pPr>
      <w:r>
        <w:rPr>
          <w:b w:val="0"/>
          <w:i w:val="0"/>
        </w:rPr>
        <w:t>Resolve missing setup, invalid inputs and incompatible model selections.</w:t>
      </w:r>
      <w:r>
        <w:rPr>
          <w:b w:val="0"/>
          <w:i w:val="0"/>
        </w:rPr>
        <w:t xml:space="preserve"> </w:t>
      </w:r>
      <w:r>
        <w:rPr>
          <w:b w:val="0"/>
          <w:i w:val="0"/>
        </w:rPr>
        <w:t xml:space="preserve"> </w:t>
      </w:r>
      <w:hyperlink r:id="rId18">
        <w:r>
          <w:rPr>
            <w:color w:val="176EA4"/>
          </w:rPr>
          <w:t>See screenshot</w:t>
        </w:r>
      </w:hyperlink>
      <w:r>
        <w:t xml:space="preserve"> </w:t>
      </w:r>
    </w:p>
    <w:p>
      <w:pPr>
        <w:pStyle w:val="ListBullet"/>
      </w:pPr>
      <w:r>
        <w:rPr>
          <w:b w:val="0"/>
          <w:i w:val="0"/>
        </w:rPr>
        <w:t>Check geometry, boundary conditions and loading in LiveLoad.</w:t>
      </w:r>
    </w:p>
    <w:p>
      <w:pPr>
        <w:pStyle w:val="ListBullet"/>
      </w:pPr>
      <w:r>
        <w:rPr>
          <w:b w:val="0"/>
          <w:i w:val="0"/>
        </w:rPr>
        <w:t>Choose Run when required and wait for completion.</w:t>
      </w:r>
      <w:r>
        <w:rPr>
          <w:b w:val="0"/>
          <w:i w:val="0"/>
        </w:rPr>
        <w:t xml:space="preserve"> </w:t>
      </w:r>
      <w:r>
        <w:rPr>
          <w:b w:val="0"/>
          <w:i w:val="0"/>
        </w:rPr>
        <w:t xml:space="preserve"> </w:t>
      </w:r>
      <w:hyperlink r:id="rId18">
        <w:r>
          <w:rPr>
            <w:color w:val="176EA4"/>
          </w:rPr>
          <w:t>See screenshot</w:t>
        </w:r>
      </w:hyperlink>
      <w:r>
        <w:t xml:space="preserve"> </w:t>
      </w:r>
    </w:p>
    <w:p>
      <w:pPr>
        <w:pStyle w:val="ListBullet"/>
      </w:pPr>
      <w:r>
        <w:rPr>
          <w:b w:val="0"/>
          <w:i w:val="0"/>
        </w:rPr>
        <w:t>Review the relevant output and its freshness, units, assumptions and convergence.</w:t>
      </w:r>
    </w:p>
    <w:p>
      <w:pPr>
        <w:keepNext/>
        <w:jc w:val="center"/>
      </w:pPr>
      <w:r>
        <w:drawing>
          <wp:inline xmlns:a="http://schemas.openxmlformats.org/drawingml/2006/main" xmlns:pic="http://schemas.openxmlformats.org/drawingml/2006/picture">
            <wp:extent cx="6217920" cy="4897347"/>
            <wp:docPr id="4" name="Picture 4" descr="Review the linked records in Simulation (shown as Solve in this capture) and use Run on the output toolbar."/>
            <wp:cNvGraphicFramePr>
              <a:graphicFrameLocks noChangeAspect="1"/>
            </wp:cNvGraphicFramePr>
            <a:graphic>
              <a:graphicData uri="http://schemas.openxmlformats.org/drawingml/2006/picture">
                <pic:pic>
                  <pic:nvPicPr>
                    <pic:cNvPr id="0" name="3e4919cb93ecd9e289678ee90a91fc92d8494fb6fad77bf561f1f4a89382fe84.png"/>
                    <pic:cNvPicPr/>
                  </pic:nvPicPr>
                  <pic:blipFill>
                    <a:blip r:embed="rId19"/>
                    <a:stretch>
                      <a:fillRect/>
                    </a:stretch>
                  </pic:blipFill>
                  <pic:spPr>
                    <a:xfrm>
                      <a:off x="0" y="0"/>
                      <a:ext cx="6217920" cy="4897347"/>
                    </a:xfrm>
                    <a:prstGeom prst="rect"/>
                  </pic:spPr>
                </pic:pic>
              </a:graphicData>
            </a:graphic>
          </wp:inline>
        </w:drawing>
      </w:r>
    </w:p>
    <w:p>
      <w:pPr>
        <w:pStyle w:val="Caption"/>
      </w:pPr>
      <w:r>
        <w:rPr>
          <w:b/>
          <w:i w:val="0"/>
        </w:rPr>
        <w:t xml:space="preserve">Steps </w:t>
      </w:r>
      <w:r>
        <w:rPr>
          <w:b/>
          <w:i w:val="0"/>
        </w:rPr>
        <w:t xml:space="preserve"> </w:t>
      </w:r>
      <w:r>
        <w:rPr>
          <w:b/>
          <w:i w:val="0"/>
        </w:rPr>
        <w:t>1, 3</w:t>
      </w:r>
      <w:r>
        <w:rPr>
          <w:b/>
          <w:i w:val="0"/>
        </w:rPr>
        <w:t xml:space="preserve"> </w:t>
      </w:r>
      <w:r>
        <w:rPr>
          <w:b/>
          <w:i w:val="0"/>
        </w:rPr>
        <w:t xml:space="preserve"> · </w:t>
      </w:r>
      <w:r>
        <w:rPr>
          <w:b w:val="0"/>
          <w:i w:val="0"/>
        </w:rPr>
        <w:t>Review the linked records in Simulation (shown as Solve in this capture) and use Run on the output toolbar.</w:t>
      </w:r>
      <w:r>
        <w:rPr>
          <w:b w:val="0"/>
          <w:i w:val="0"/>
        </w:rPr>
        <w:t xml:space="preserve"> </w:t>
      </w:r>
      <w:r>
        <w:rPr>
          <w:b w:val="0"/>
          <w:i w:val="0"/>
        </w:rPr>
        <w:t xml:space="preserve"> </w:t>
      </w:r>
      <w:hyperlink r:id="rId20">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A completed calculation is not a design pass. Changing upstream inputs can make saved results outdated; navigation, animated arrows and old plots do not confirm a new solve.</w:t>
      </w:r>
    </w:p>
    <w:p>
      <w:pPr>
        <w:pStyle w:val="Heading2"/>
      </w:pPr>
      <w:r>
        <w:t>Find the manuals and exercise databases</w:t>
      </w:r>
    </w:p>
    <w:p>
      <w:pPr/>
      <w:r>
        <w:rPr>
          <w:b w:val="0"/>
          <w:i w:val="0"/>
        </w:rPr>
        <w:t>Open Your account → Your CDS library for the current overview PDF, User Guide, Theory Manual and complete exercise collection. Read the exercise instructions and two-layer workflow before opening its database.</w:t>
      </w:r>
    </w:p>
    <w:p>
      <w:pPr>
        <w:keepNext/>
      </w:pPr>
      <w:r>
        <w:t>Good practice</w:t>
      </w:r>
    </w:p>
    <w:p>
      <w:pPr/>
      <w:r>
        <w:rPr>
          <w:b w:val="0"/>
          <w:i w:val="0"/>
        </w:rPr>
        <w:t>An active license is required for database downloads. Teaching inputs are not certified design allowables; models still require the appropriate permissions.</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2" w:name="chapter_2"/>
      <w:pPr>
        <w:pStyle w:val="Heading1"/>
        <w:pageBreakBefore/>
      </w:pPr>
      <w:r>
        <w:t>2 Navigate the Workbench workspace</w:t>
      </w:r>
      <w:bookmarkEnd w:id="2"/>
    </w:p>
    <w:p>
      <w:pPr>
        <w:pStyle w:val="Caption"/>
      </w:pPr>
      <w:hyperlink r:id="rId21">
        <w:r>
          <w:rPr>
            <w:color w:val="176EA4"/>
          </w:rPr>
          <w:t>Online chapter</w:t>
        </w:r>
      </w:hyperlink>
      <w:r>
        <w:t xml:space="preserve"> </w:t>
      </w:r>
    </w:p>
    <w:p>
      <w:pPr/>
      <w:r>
        <w:rPr>
          <w:b w:val="0"/>
          <w:i w:val="0"/>
        </w:rPr>
        <w:t>Understand the latest Project Manager, project tree, filters, record editor, and live connection summary.</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r>
        <w:rPr>
          <w:b w:val="0"/>
          <w:i w:val="0"/>
        </w:rPr>
        <w:t>Explore the connected input path below. The dated GUI captures in the instructions show record controls; the current Simulation tab combines the earlier Solve and Summary views.</w:t>
      </w:r>
    </w:p>
    <w:p>
      <w:r>
        <w:t>Trace the selected input path</w:t>
      </w:r>
    </w:p>
    <w:p>
      <w:r>
        <w:t>Ply property source</w:t>
      </w:r>
    </w:p>
    <w:p>
      <w:r>
        <w:t>Include thermal analysis</w:t>
      </w:r>
    </w:p>
    <w:p>
      <w:r>
        <w:t>Include moisture analysis</w:t>
      </w:r>
    </w:p>
    <w:p>
      <w:r>
        <w:t>Include optional fatigue assessment</w:t>
      </w:r>
    </w:p>
    <w:p>
      <w:pPr/>
      <w:r>
        <w:rPr>
          <w:b w:val="0"/>
          <w:i w:val="0"/>
        </w:rPr>
        <w:t>Stored ply properties bypass Micro. Mixed stacks keep both paths. Gray blocks are not selected. Geometry, process schedules and other model records are omitted here for clarity; a real run must include all required references.</w:t>
      </w:r>
    </w:p>
    <w:p>
      <w:pPr/>
      <w:r>
        <w:rPr>
          <w:b w:val="0"/>
          <w:i w:val="0"/>
        </w:rPr>
        <w:t>Fatigue uses intact CLT endpoint stresses and measured S–N calibration. It is evaluated separately from Run and progressive failure. The dashed handoff is not active: optimization still uses current properties until a degradation law is supplied.</w:t>
      </w:r>
    </w:p>
    <w:p>
      <w:pPr>
        <w:keepNext w:val="0"/>
        <w:jc w:val="center"/>
      </w:pPr>
      <w:r>
        <w:drawing>
          <wp:inline xmlns:a="http://schemas.openxmlformats.org/drawingml/2006/main" xmlns:pic="http://schemas.openxmlformats.org/drawingml/2006/picture">
            <wp:extent cx="6217920" cy="1935767"/>
            <wp:docPr id="5" name="Picture 5" descr="CDS workflow or model illustration"/>
            <wp:cNvGraphicFramePr>
              <a:graphicFrameLocks noChangeAspect="1"/>
            </wp:cNvGraphicFramePr>
            <a:graphic>
              <a:graphicData uri="http://schemas.openxmlformats.org/drawingml/2006/picture">
                <pic:pic>
                  <pic:nvPicPr>
                    <pic:cNvPr id="0" name="rsvg-615023cf647a6b49632caca708c0ff60ff2cc31c35130238cbb49066f80dac56.png"/>
                    <pic:cNvPicPr/>
                  </pic:nvPicPr>
                  <pic:blipFill>
                    <a:blip r:embed="rId13"/>
                    <a:stretch>
                      <a:fillRect/>
                    </a:stretch>
                  </pic:blipFill>
                  <pic:spPr>
                    <a:xfrm>
                      <a:off x="0" y="0"/>
                      <a:ext cx="6217920" cy="1935767"/>
                    </a:xfrm>
                    <a:prstGeom prst="rect"/>
                  </pic:spPr>
                </pic:pic>
              </a:graphicData>
            </a:graphic>
          </wp:inline>
        </w:drawing>
      </w:r>
    </w:p>
    <w:p>
      <w:pPr/>
      <w:r>
        <w:rPr>
          <w:b w:val="0"/>
          <w:i w:val="0"/>
        </w:rPr>
        <w:t>Materials → Micro → Laminate.</w:t>
      </w:r>
    </w:p>
    <w:p>
      <w:pPr/>
      <w:hyperlink r:id="rId14">
        <w:r>
          <w:rPr>
            <w:color w:val="176EA4"/>
          </w:rPr>
          <w:t>All exercises, case studies and simulation examples →</w:t>
        </w:r>
      </w:hyperlink>
      <w:r>
        <w:t xml:space="preserve"> </w:t>
      </w:r>
      <w:r>
        <w:rPr>
          <w:b w:val="0"/>
          <w:i w:val="0"/>
        </w:rPr>
        <w:t xml:space="preserve"> · </w:t>
      </w:r>
      <w:hyperlink r:id="rId12">
        <w:r>
          <w:rPr>
            <w:color w:val="176EA4"/>
          </w:rPr>
          <w:t>Your CDS library: overview, manuals and database downloads →</w:t>
        </w:r>
      </w:hyperlink>
      <w:r>
        <w:t xml:space="preserve"> </w:t>
      </w:r>
    </w:p>
    <w:p>
      <w:pPr>
        <w:pStyle w:val="Heading2"/>
      </w:pPr>
      <w:r>
        <w:t>Inspect the selected model in Live Sim</w:t>
      </w:r>
    </w:p>
    <w:p>
      <w:pPr/>
      <w:r>
        <w:rPr>
          <w:b w:val="0"/>
          <w:i w:val="0"/>
        </w:rPr>
        <w:t>SIMULATE opens with Live Sim, an input-driven view of the selected cases. The four selectors remain available above the scene. Switch to Blocks to manage candidate records and trace their connections.</w:t>
      </w:r>
    </w:p>
    <w:p>
      <w:pPr>
        <w:pStyle w:val="ListBullet"/>
      </w:pPr>
      <w:r>
        <w:rPr>
          <w:b w:val="0"/>
          <w:i w:val="0"/>
        </w:rPr>
        <w:t>Select Geometry, Laminate, a constituent or a case to inspect the inputs that are actually used. Clicking a used block heading also opens its Live Sim inspection.</w:t>
      </w:r>
    </w:p>
    <w:p>
      <w:pPr>
        <w:pStyle w:val="ListBullet"/>
      </w:pPr>
      <w:r>
        <w:rPr>
          <w:b w:val="0"/>
          <w:i w:val="0"/>
        </w:rPr>
        <w:t>Select a ply in the stack or geometry view to inspect its source. Micro-derived and stored-property plies are identified separately. Woven sources show the fabric unit-cell preview when applicable.</w:t>
      </w:r>
    </w:p>
    <w:p>
      <w:pPr>
        <w:pStyle w:val="ListBullet"/>
      </w:pPr>
      <w:r>
        <w:rPr>
          <w:b w:val="0"/>
          <w:i w:val="0"/>
        </w:rPr>
        <w:t>Select the Thermal or Moisture case to inspect its surface boundary schedule. Move the step slider to compare prescribed conditions. This is not a solved internal temperature or moisture field.</w:t>
      </w:r>
    </w:p>
    <w:p>
      <w:pPr>
        <w:pStyle w:val="ListBullet"/>
      </w:pPr>
      <w:r>
        <w:rPr>
          <w:b w:val="0"/>
          <w:i w:val="0"/>
        </w:rPr>
        <w:t>Use Edit input to open the source record. The scene follows the changed inputs; rerun the simulation before trusting previous results.</w:t>
      </w:r>
    </w:p>
    <w:p>
      <w:pPr>
        <w:keepNext/>
      </w:pPr>
      <w:r>
        <w:t>Good practice</w:t>
      </w:r>
    </w:p>
    <w:p>
      <w:pPr/>
      <w:r>
        <w:rPr>
          <w:b w:val="0"/>
          <w:i w:val="0"/>
        </w:rPr>
        <w:t>Geometry, ply bands and arrows are input illustrations, not a finite-element mesh or solved deformation. Display-only thickness enlargement and any model-specific visualization assumptions are identified in the preview.</w:t>
      </w:r>
    </w:p>
    <w:p>
      <w:pPr>
        <w:pStyle w:val="Heading2"/>
      </w:pPr>
      <w:r>
        <w:t>Use the current CASES database format</w:t>
      </w:r>
    </w:p>
    <w:p>
      <w:pPr/>
      <w:r>
        <w:rPr>
          <w:b w:val="0"/>
          <w:i w:val="0"/>
        </w:rPr>
        <w:t>This release reads and saves the current CASES database format only. Thermal and Moisture schedules are stored directly with their cases. There is no separate Process record or old-format migration on opening a file.</w:t>
      </w:r>
    </w:p>
    <w:p>
      <w:pPr>
        <w:pStyle w:val="ListBullet"/>
      </w:pPr>
      <w:r>
        <w:rPr>
          <w:b w:val="0"/>
          <w:i w:val="0"/>
        </w:rPr>
        <w:t>Download a current starter or exercise database from the library. Older-format files are rejected with a clear message rather than converted silently.</w:t>
      </w:r>
    </w:p>
    <w:p>
      <w:pPr>
        <w:pStyle w:val="ListBullet"/>
      </w:pPr>
      <w:r>
        <w:rPr>
          <w:b w:val="0"/>
          <w:i w:val="0"/>
        </w:rPr>
        <w:t>Save and reopen the current database to retain case selections, schedules, candidate records and editable names.</w:t>
      </w:r>
    </w:p>
    <w:p>
      <w:pPr>
        <w:pStyle w:val="ListBullet"/>
      </w:pPr>
      <w:r>
        <w:rPr>
          <w:b w:val="0"/>
          <w:i w:val="0"/>
        </w:rPr>
        <w:t>Missing folders, duplicate identifiers and cycles attached to absent cases prevent saving or opening. Blank physical inputs remain editable and must be completed before Run.</w:t>
      </w:r>
    </w:p>
    <w:p>
      <w:pPr>
        <w:keepNext/>
      </w:pPr>
      <w:r>
        <w:t>Good practice</w:t>
      </w:r>
    </w:p>
    <w:p>
      <w:pPr/>
      <w:r>
        <w:rPr>
          <w:b w:val="0"/>
          <w:i w:val="0"/>
        </w:rPr>
        <w:t>This change concerns Workbench database files only. It does not erase account, licensing or payment history.</w:t>
      </w:r>
    </w:p>
    <w:p>
      <w:pPr>
        <w:pStyle w:val="Heading2"/>
      </w:pPr>
      <w:r>
        <w:t>Choose the run in the SIMULATION block</w:t>
      </w:r>
    </w:p>
    <w:p>
      <w:pPr/>
      <w:r>
        <w:rPr>
          <w:b w:val="0"/>
          <w:i w:val="0"/>
        </w:rPr>
        <w:t>SIMULATION is the control point for the run. Select a Thermal case, Moisture case, Mechanical case and EM case, or None in any slot. Each selected case shows its analysis model, laminate and applicable geometry.</w:t>
      </w:r>
    </w:p>
    <w:p>
      <w:pPr>
        <w:pStyle w:val="ListBullet"/>
      </w:pPr>
      <w:r>
        <w:rPr>
          <w:b w:val="0"/>
          <w:i w:val="0"/>
        </w:rPr>
        <w:t>Keep candidate records in the surrounding blocks. Adding a candidate does not select it for execution.</w:t>
      </w:r>
    </w:p>
    <w:p>
      <w:pPr>
        <w:pStyle w:val="ListBullet"/>
      </w:pPr>
      <w:r>
        <w:rPr>
          <w:b w:val="0"/>
          <w:i w:val="0"/>
        </w:rPr>
        <w:t>Select the required cases in SIMULATION and review their inputs before Run. At least one case is required.</w:t>
      </w:r>
    </w:p>
    <w:p>
      <w:pPr>
        <w:pStyle w:val="ListBullet"/>
      </w:pPr>
      <w:r>
        <w:rPr>
          <w:b w:val="0"/>
          <w:i w:val="0"/>
        </w:rPr>
        <w:t>Use the same laminate for a supported combined run. Run standalone studies separately with the other selectors set to None.</w:t>
      </w:r>
    </w:p>
    <w:p>
      <w:pPr>
        <w:pStyle w:val="ListBullet"/>
      </w:pPr>
      <w:r>
        <w:rPr>
          <w:b w:val="0"/>
          <w:i w:val="0"/>
        </w:rPr>
        <w:t>Run executes the selected combination. A connection or Used marker is not evidence of a successful solve.</w:t>
      </w:r>
    </w:p>
    <w:p>
      <w:pPr>
        <w:keepNext/>
      </w:pPr>
      <w:r>
        <w:t>Good practice</w:t>
      </w:r>
    </w:p>
    <w:p>
      <w:pPr/>
      <w:r>
        <w:rPr>
          <w:b w:val="0"/>
          <w:i w:val="0"/>
        </w:rPr>
        <w:t>Selecting several cases does not add unsupported physics coupling. EM screening studies do not automatically heat the thermal case.</w:t>
      </w:r>
    </w:p>
    <w:p>
      <w:pPr>
        <w:pStyle w:val="Heading2"/>
      </w:pPr>
      <w:r>
        <w:t>Review every downstream geometry dependency</w:t>
      </w:r>
    </w:p>
    <w:p>
      <w:pPr/>
      <w:r>
        <w:rPr>
          <w:b w:val="0"/>
          <w:i w:val="0"/>
        </w:rPr>
        <w:t>A geometry record can be shared by several cases and simulations. Editing its dimensions or type affects all linked consumers, including studies that are not currently open. Unrelated records are unchanged.</w:t>
      </w:r>
    </w:p>
    <w:p>
      <w:pPr>
        <w:pStyle w:val="ListBullet"/>
      </w:pPr>
      <w:r>
        <w:rPr>
          <w:b w:val="0"/>
          <w:i w:val="0"/>
        </w:rPr>
        <w:t>After editing geometry, open Solver messages and expand Review affected cases and simulations. Select a linked name to inspect that record.</w:t>
      </w:r>
    </w:p>
    <w:p>
      <w:pPr>
        <w:pStyle w:val="ListBullet"/>
      </w:pPr>
      <w:r>
        <w:rPr>
          <w:b w:val="0"/>
          <w:i w:val="0"/>
        </w:rPr>
        <w:t>Check the selected model, load basis, dimensions and boundary conditions. Loads are not automatically replaced when the geometry changes.</w:t>
      </w:r>
    </w:p>
    <w:p>
      <w:pPr>
        <w:pStyle w:val="ListBullet"/>
      </w:pPr>
      <w:r>
        <w:rPr>
          <w:b w:val="0"/>
          <w:i w:val="0"/>
        </w:rPr>
        <w:t>Resolve incompatible geometry and model combinations before running. An I-section does not turn a plate theory into a beam theory.</w:t>
      </w:r>
    </w:p>
    <w:p>
      <w:pPr>
        <w:pStyle w:val="ListBullet"/>
      </w:pPr>
      <w:r>
        <w:rPr>
          <w:b w:val="0"/>
          <w:i w:val="0"/>
        </w:rPr>
        <w:t>Rerun affected simulations before relying on previous results. Inputs changed warnings indicate that stored results no longer match their connected inputs.</w:t>
      </w:r>
    </w:p>
    <w:p>
      <w:pPr>
        <w:keepNext/>
      </w:pPr>
      <w:r>
        <w:t>Good practice</w:t>
      </w:r>
    </w:p>
    <w:p>
      <w:pPr/>
      <w:r>
        <w:rPr>
          <w:b w:val="0"/>
          <w:i w:val="0"/>
        </w:rPr>
        <w:t>Geometry affects only dimensions consumed by the selected model. One-dimensional transport retains its through-thickness assumptions; standalone studies may own their dimensions. Under fixed total edge loads, changing plate width changes force per unit width. Under prescribed resultants, it does not.</w:t>
      </w:r>
    </w:p>
    <w:p>
      <w:pPr>
        <w:pStyle w:val="Heading2"/>
      </w:pPr>
      <w:r>
        <w:t>Build the simulation from interactive blocks</w:t>
      </w:r>
    </w:p>
    <w:p>
      <w:pPr/>
      <w:r>
        <w:rPr>
          <w:b w:val="0"/>
          <w:i w:val="0"/>
        </w:rPr>
        <w:t>Choose Block view above the left navigator for a vertical, editable workflow, or Blocks inside SIMULATE for the larger connection view. Live Sim inspects the selected model. Record dropdowns remain visible in Lite view.</w:t>
      </w:r>
    </w:p>
    <w:p>
      <w:pPr>
        <w:pStyle w:val="ListBullet"/>
      </w:pPr>
      <w:r>
        <w:rPr>
          <w:b w:val="0"/>
          <w:i w:val="0"/>
        </w:rPr>
        <w:t>Choose the active simulation, then select compatible materials, Micro recipes, laminates, geometry and cases inside its blocks. Hybrid laminates can retain both stored-material and solved-Micro ply sources.</w:t>
      </w:r>
    </w:p>
    <w:p>
      <w:pPr>
        <w:pStyle w:val="ListBullet"/>
      </w:pPr>
      <w:r>
        <w:rPr>
          <w:b w:val="0"/>
          <w:i w:val="0"/>
        </w:rPr>
        <w:t>Use the local Blocks Lite–Advanced switch for extra details without changing the rest of the workspace. Existing search and current-simulation filters still apply.</w:t>
      </w:r>
    </w:p>
    <w:p>
      <w:pPr>
        <w:pStyle w:val="ListBullet"/>
      </w:pPr>
      <w:r>
        <w:rPr>
          <w:b w:val="0"/>
          <w:i w:val="0"/>
        </w:rPr>
        <w:t>Use the side connections to trace the input path. Hide connections or pause their animation locally; reduced-motion preferences are respected. Animation indicates connection direction, not solver progress.</w:t>
      </w:r>
    </w:p>
    <w:p>
      <w:pPr>
        <w:keepNext/>
      </w:pPr>
      <w:r>
        <w:t>Good practice</w:t>
      </w:r>
    </w:p>
    <w:p>
      <w:pPr/>
      <w:r>
        <w:rPr>
          <w:b w:val="0"/>
          <w:i w:val="0"/>
        </w:rPr>
        <w:t>The current-simulation filter includes used dependencies and added candidate records, even when those candidates are not selected for the run. Show all to browse other allowed library records.</w:t>
      </w:r>
    </w:p>
    <w:p>
      <w:pPr>
        <w:pStyle w:val="Heading2"/>
      </w:pPr>
      <w:r>
        <w:t>Read the blue Used marker</w:t>
      </w:r>
    </w:p>
    <w:p>
      <w:pPr/>
      <w:r>
        <w:rPr>
          <w:b w:val="0"/>
          <w:i w:val="0"/>
        </w:rPr>
        <w:t>Connected, available record selections have a soft blue glow and a Used marker in the corner. Hover or focus the marker to see which downstream record and field uses that input.</w:t>
      </w:r>
    </w:p>
    <w:p>
      <w:pPr>
        <w:pStyle w:val="ListBullet"/>
      </w:pPr>
      <w:r>
        <w:rPr>
          <w:b w:val="0"/>
          <w:i w:val="0"/>
        </w:rPr>
        <w:t>Check the marker before editing a shared input: more than one case can consume it.</w:t>
      </w:r>
    </w:p>
    <w:p>
      <w:pPr>
        <w:pStyle w:val="ListBullet"/>
      </w:pPr>
      <w:r>
        <w:rPr>
          <w:b w:val="0"/>
          <w:i w:val="0"/>
        </w:rPr>
        <w:t>A Used marker means connected, not solved or validated. Review solver status and outdated-result warnings separately.</w:t>
      </w:r>
    </w:p>
    <w:p>
      <w:pPr>
        <w:pStyle w:val="ListBullet"/>
      </w:pPr>
      <w:r>
        <w:rPr>
          <w:b w:val="0"/>
          <w:i w:val="0"/>
        </w:rPr>
        <w:t>Missing or incompatible selections need repair; do not interpret an empty result as zero response.</w:t>
      </w:r>
    </w:p>
    <w:p>
      <w:pPr>
        <w:pStyle w:val="Heading2"/>
      </w:pPr>
      <w:r>
        <w:t>Add replace or disconnect a block input</w:t>
      </w:r>
    </w:p>
    <w:p>
      <w:pPr/>
      <w:r>
        <w:rPr>
          <w:b w:val="0"/>
          <w:i w:val="0"/>
        </w:rPr>
        <w:t>The + control adds another available record to a block, excluding records already present. Use that record row dropdown to change the candidate, its link to open it, and − to remove it from the block. Library records are not deleted.</w:t>
      </w:r>
    </w:p>
    <w:p>
      <w:pPr>
        <w:pStyle w:val="ListBullet"/>
      </w:pPr>
      <w:r>
        <w:rPr>
          <w:b w:val="0"/>
          <w:i w:val="0"/>
        </w:rPr>
        <w:t>Choose + and search for a compatible candidate not already in the block. Decide what actually runs with the four selectors in SIMULATION.</w:t>
      </w:r>
    </w:p>
    <w:p>
      <w:pPr>
        <w:pStyle w:val="ListBullet"/>
      </w:pPr>
      <w:r>
        <w:rPr>
          <w:b w:val="0"/>
          <w:i w:val="0"/>
        </w:rPr>
        <w:t>If no compatible record exists, create one in Inputs. Each case owns its analysis model and applicable cycle. There is no separate Process block to connect.</w:t>
      </w:r>
    </w:p>
    <w:p>
      <w:pPr>
        <w:pStyle w:val="ListBullet"/>
      </w:pPr>
      <w:r>
        <w:rPr>
          <w:b w:val="0"/>
          <w:i w:val="0"/>
        </w:rPr>
        <w:t>A used input must first be disconnected or changed at its consuming field. Review downstream warnings before confirming a removal; cancel to keep it.</w:t>
      </w:r>
    </w:p>
    <w:p>
      <w:pPr>
        <w:pStyle w:val="ListBullet"/>
      </w:pPr>
      <w:r>
        <w:rPr>
          <w:b w:val="0"/>
          <w:i w:val="0"/>
        </w:rPr>
        <w:t>After removal, required missing inputs remain flagged and their selectors allow reconnection. Optional cases may stay disconnected. Rerun affected analyses before relying on their results.</w:t>
      </w:r>
    </w:p>
    <w:p>
      <w:pPr>
        <w:keepNext/>
      </w:pPr>
      <w:r>
        <w:t>Good practice</w:t>
      </w:r>
    </w:p>
    <w:p>
      <w:pPr/>
      <w:r>
        <w:rPr>
          <w:b w:val="0"/>
          <w:i w:val="0"/>
        </w:rPr>
        <w:t>Disconnecting a shared laminate input may affect several cases. Removing a ply-source connection preserves the other ply sources, angles and thicknesses; it does not delete the ply stack.</w:t>
      </w:r>
    </w:p>
    <w:p>
      <w:pPr>
        <w:pStyle w:val="Heading2"/>
      </w:pPr>
      <w:r>
        <w:t>Keep starter laminates in one classification</w:t>
      </w:r>
    </w:p>
    <w:p>
      <w:pPr/>
      <w:r>
        <w:rPr>
          <w:b w:val="0"/>
          <w:i w:val="0"/>
        </w:rPr>
        <w:t>Generated Standard starter Conventional Laminates folders are consolidated into the main Conventional Laminates folder. Distinct laminate record IDs and their simulation links are preserved; identical titles alone are not a reason to delete a record.</w:t>
      </w:r>
    </w:p>
    <w:p>
      <w:pPr>
        <w:keepNext/>
      </w:pPr>
      <w:r>
        <w:t>Good practice</w:t>
      </w:r>
    </w:p>
    <w:p>
      <w:pPr/>
      <w:r>
        <w:rPr>
          <w:b w:val="0"/>
          <w:i w:val="0"/>
        </w:rPr>
        <w:t>Custom folders and exercise collections remain separate. Save the workspace to retain its cleaned organization in your local database.</w:t>
      </w:r>
    </w:p>
    <w:p>
      <w:pPr>
        <w:pStyle w:val="Heading2"/>
      </w:pPr>
      <w:r>
        <w:t>Project Manager</w:t>
      </w:r>
    </w:p>
    <w:p>
      <w:pPr/>
      <w:r>
        <w:rPr>
          <w:b w:val="0"/>
          <w:i w:val="0"/>
        </w:rPr>
        <w:t>The Project Manager at the upper left combines navigation actions with the selected record’s context menu. Use it for create, open, save, load, export, and settings actions.</w:t>
      </w:r>
    </w:p>
    <w:p>
      <w:pPr>
        <w:pStyle w:val="ListBullet"/>
      </w:pPr>
      <w:r>
        <w:rPr>
          <w:b w:val="0"/>
          <w:i w:val="0"/>
        </w:rPr>
        <w:t>Select a tree item first.</w:t>
      </w:r>
    </w:p>
    <w:p>
      <w:pPr>
        <w:pStyle w:val="ListBullet"/>
      </w:pPr>
      <w:r>
        <w:rPr>
          <w:b w:val="0"/>
          <w:i w:val="0"/>
        </w:rPr>
        <w:t>Open Project Manager.</w:t>
      </w:r>
    </w:p>
    <w:p>
      <w:pPr>
        <w:pStyle w:val="ListBullet"/>
      </w:pPr>
      <w:r>
        <w:rPr>
          <w:b w:val="0"/>
          <w:i w:val="0"/>
        </w:rPr>
        <w:t>Confirm the action scope: selected record, subtree, or entire database.</w:t>
      </w:r>
    </w:p>
    <w:p>
      <w:pPr>
        <w:pStyle w:val="ListBullet"/>
      </w:pPr>
      <w:r>
        <w:rPr>
          <w:b w:val="0"/>
          <w:i w:val="0"/>
        </w:rPr>
        <w:t>Choose the required action.</w:t>
      </w:r>
    </w:p>
    <w:p>
      <w:pPr>
        <w:pStyle w:val="Heading2"/>
      </w:pPr>
      <w:r>
        <w:t>Compact project tree</w:t>
      </w:r>
    </w:p>
    <w:p>
      <w:pPr/>
      <w:r>
        <w:rPr>
          <w:b w:val="0"/>
          <w:i w:val="0"/>
        </w:rPr>
        <w:t>The left tree follows the engineering data chain: Materials, Micromechanics, Laminates, Geometry, CASES and Simulations. CASES contains Thermal, Moisture, Mechanical and EM records, each with its own applicable cycle. A single click selects a row; its chevron expands or closes its children.</w:t>
      </w:r>
    </w:p>
    <w:p>
      <w:pPr>
        <w:keepNext/>
        <w:jc w:val="center"/>
      </w:pPr>
      <w:r>
        <w:drawing>
          <wp:inline xmlns:a="http://schemas.openxmlformats.org/drawingml/2006/main" xmlns:pic="http://schemas.openxmlformats.org/drawingml/2006/picture">
            <wp:extent cx="6217920" cy="4304354"/>
            <wp:docPr id="6" name="Picture 6" descr="The left tree organizes modeling records; its chevrons expand classes and its rows select records."/>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15"/>
                    <a:stretch>
                      <a:fillRect/>
                    </a:stretch>
                  </pic:blipFill>
                  <pic:spPr>
                    <a:xfrm>
                      <a:off x="0" y="0"/>
                      <a:ext cx="6217920" cy="4304354"/>
                    </a:xfrm>
                    <a:prstGeom prst="rect"/>
                  </pic:spPr>
                </pic:pic>
              </a:graphicData>
            </a:graphic>
          </wp:inline>
        </w:drawing>
      </w:r>
    </w:p>
    <w:p>
      <w:pPr>
        <w:pStyle w:val="Caption"/>
      </w:pPr>
      <w:r>
        <w:rPr>
          <w:b w:val="0"/>
          <w:i w:val="0"/>
        </w:rPr>
        <w:t>The left tree organizes modeling records; its chevrons expand classes and its rows select records.</w:t>
      </w:r>
      <w:r>
        <w:rPr>
          <w:b w:val="0"/>
          <w:i w:val="0"/>
        </w:rPr>
        <w:t xml:space="preserve"> </w:t>
      </w:r>
      <w:r>
        <w:rPr>
          <w:b w:val="0"/>
          <w:i w:val="0"/>
        </w:rPr>
        <w:t xml:space="preserve"> </w:t>
      </w:r>
      <w:hyperlink r:id="rId1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Selecting the Materials heading no longer sends every material to the plot; choose one or more actual material records for comparison.</w:t>
      </w:r>
    </w:p>
    <w:p>
      <w:pPr>
        <w:pStyle w:val="Heading2"/>
      </w:pPr>
      <w:r>
        <w:t>Search filter and visibility</w:t>
      </w:r>
    </w:p>
    <w:p>
      <w:pPr/>
      <w:r>
        <w:rPr>
          <w:b w:val="0"/>
          <w:i w:val="0"/>
        </w:rPr>
        <w:t>Search locates records by title or descriptor. The All records dropdown and type filters narrow the visible records while preserving the primary tree. The eye control switches between the current simulation's records and all allowed records. Current simulation includes available candidates you added, even when they are not yet Used by the selected run.</w:t>
      </w:r>
    </w:p>
    <w:p>
      <w:pPr>
        <w:pStyle w:val="ListBullet"/>
      </w:pPr>
      <w:r>
        <w:rPr>
          <w:b w:val="0"/>
          <w:i w:val="0"/>
        </w:rPr>
        <w:t>Enter a search term or choose a type filter.</w:t>
      </w:r>
      <w:r>
        <w:rPr>
          <w:b w:val="0"/>
          <w:i w:val="0"/>
        </w:rPr>
        <w:t xml:space="preserve"> </w:t>
      </w:r>
      <w:r>
        <w:rPr>
          <w:b w:val="0"/>
          <w:i w:val="0"/>
        </w:rPr>
        <w:t xml:space="preserve"> </w:t>
      </w:r>
      <w:hyperlink r:id="rId22">
        <w:r>
          <w:rPr>
            <w:color w:val="176EA4"/>
          </w:rPr>
          <w:t>See screenshot</w:t>
        </w:r>
      </w:hyperlink>
      <w:r>
        <w:t xml:space="preserve"> </w:t>
      </w:r>
    </w:p>
    <w:p>
      <w:pPr>
        <w:pStyle w:val="ListBullet"/>
      </w:pPr>
      <w:r>
        <w:rPr>
          <w:b w:val="0"/>
          <w:i w:val="0"/>
        </w:rPr>
        <w:t>Look for the blue active-filter treatment.</w:t>
      </w:r>
    </w:p>
    <w:p>
      <w:pPr>
        <w:pStyle w:val="ListBullet"/>
      </w:pPr>
      <w:r>
        <w:rPr>
          <w:b w:val="0"/>
          <w:i w:val="0"/>
        </w:rPr>
        <w:t>Review Workspace filtered result.</w:t>
      </w:r>
    </w:p>
    <w:p>
      <w:pPr>
        <w:pStyle w:val="ListBullet"/>
      </w:pPr>
      <w:r>
        <w:rPr>
          <w:b w:val="0"/>
          <w:i w:val="0"/>
        </w:rPr>
        <w:t>Clear search and filter to restore the full tree.</w:t>
      </w:r>
      <w:r>
        <w:rPr>
          <w:b w:val="0"/>
          <w:i w:val="0"/>
        </w:rPr>
        <w:t xml:space="preserve"> </w:t>
      </w:r>
      <w:r>
        <w:rPr>
          <w:b w:val="0"/>
          <w:i w:val="0"/>
        </w:rPr>
        <w:t xml:space="preserve"> </w:t>
      </w:r>
      <w:hyperlink r:id="rId22">
        <w:r>
          <w:rPr>
            <w:color w:val="176EA4"/>
          </w:rPr>
          <w:t>See screenshot</w:t>
        </w:r>
      </w:hyperlink>
      <w:r>
        <w:t xml:space="preserve"> </w:t>
      </w:r>
    </w:p>
    <w:p>
      <w:pPr>
        <w:keepNext/>
        <w:jc w:val="center"/>
      </w:pPr>
      <w:r>
        <w:drawing>
          <wp:inline xmlns:a="http://schemas.openxmlformats.org/drawingml/2006/main" xmlns:pic="http://schemas.openxmlformats.org/drawingml/2006/picture">
            <wp:extent cx="6217920" cy="4304354"/>
            <wp:docPr id="7" name="Picture 7" descr="Search, the All filter and visibility control sit directly above the tree."/>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15"/>
                    <a:stretch>
                      <a:fillRect/>
                    </a:stretch>
                  </pic:blipFill>
                  <pic:spPr>
                    <a:xfrm>
                      <a:off x="0" y="0"/>
                      <a:ext cx="6217920" cy="4304354"/>
                    </a:xfrm>
                    <a:prstGeom prst="rect"/>
                  </pic:spPr>
                </pic:pic>
              </a:graphicData>
            </a:graphic>
          </wp:inline>
        </w:drawing>
      </w:r>
    </w:p>
    <w:p>
      <w:pPr>
        <w:pStyle w:val="Caption"/>
      </w:pPr>
      <w:r>
        <w:rPr>
          <w:b/>
          <w:i w:val="0"/>
        </w:rPr>
        <w:t xml:space="preserve">Steps </w:t>
      </w:r>
      <w:r>
        <w:rPr>
          <w:b/>
          <w:i w:val="0"/>
        </w:rPr>
        <w:t xml:space="preserve"> </w:t>
      </w:r>
      <w:r>
        <w:rPr>
          <w:b/>
          <w:i w:val="0"/>
        </w:rPr>
        <w:t>1, 4</w:t>
      </w:r>
      <w:r>
        <w:rPr>
          <w:b/>
          <w:i w:val="0"/>
        </w:rPr>
        <w:t xml:space="preserve"> </w:t>
      </w:r>
      <w:r>
        <w:rPr>
          <w:b/>
          <w:i w:val="0"/>
        </w:rPr>
        <w:t xml:space="preserve"> · </w:t>
      </w:r>
      <w:r>
        <w:rPr>
          <w:b w:val="0"/>
          <w:i w:val="0"/>
        </w:rPr>
        <w:t>Search, the All filter and visibility control sit directly above the tree.</w:t>
      </w:r>
      <w:r>
        <w:rPr>
          <w:b w:val="0"/>
          <w:i w:val="0"/>
        </w:rPr>
        <w:t xml:space="preserve"> </w:t>
      </w:r>
      <w:r>
        <w:rPr>
          <w:b w:val="0"/>
          <w:i w:val="0"/>
        </w:rPr>
        <w:t xml:space="preserve"> </w:t>
      </w:r>
      <w:hyperlink r:id="rId1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pStyle w:val="Heading2"/>
      </w:pPr>
      <w:r>
        <w:t>Expand or contract the tree</w:t>
      </w:r>
    </w:p>
    <w:p>
      <w:pPr/>
      <w:r>
        <w:rPr>
          <w:b w:val="0"/>
          <w:i w:val="0"/>
        </w:rPr>
        <w:t>Workspace overview and its tree controls remain above the scrolling records. The open-book icon expands all; the closed-book icon collapses all. The arrows expand or contract one level.</w:t>
      </w:r>
    </w:p>
    <w:p>
      <w:pPr>
        <w:keepNext/>
      </w:pPr>
      <w:r>
        <w:t>Good practice</w:t>
      </w:r>
    </w:p>
    <w:p>
      <w:pPr/>
      <w:r>
        <w:rPr>
          <w:b w:val="0"/>
          <w:i w:val="0"/>
        </w:rPr>
        <w:t>Clear a text search before using the expansion controls. Structural models contain nested CLT/FSDT, cylinder, failure, fatigue and related submodels; nesting does not imply solver compatibility.</w:t>
      </w:r>
    </w:p>
    <w:p>
      <w:pPr>
        <w:pStyle w:val="Heading2"/>
      </w:pPr>
      <w:r>
        <w:t>Selected record editor</w:t>
      </w:r>
    </w:p>
    <w:p>
      <w:pPr/>
      <w:r>
        <w:rPr>
          <w:b w:val="0"/>
          <w:i w:val="0"/>
        </w:rPr>
        <w:t>Selecting an item opens its property editor. Compact tables show property names, descriptions, values, units and lock state. Predicted micromechanics and laminate properties remain read-only indicators; edit their connected source inputs instead.</w:t>
      </w:r>
    </w:p>
    <w:p>
      <w:pPr>
        <w:keepNext/>
        <w:jc w:val="center"/>
      </w:pPr>
      <w:r>
        <w:drawing>
          <wp:inline xmlns:a="http://schemas.openxmlformats.org/drawingml/2006/main" xmlns:pic="http://schemas.openxmlformats.org/drawingml/2006/picture">
            <wp:extent cx="6217920" cy="4304354"/>
            <wp:docPr id="8" name="Picture 8" descr="The selected record editor occupies the upper pane; units and locks are beside each value."/>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15"/>
                    <a:stretch>
                      <a:fillRect/>
                    </a:stretch>
                  </pic:blipFill>
                  <pic:spPr>
                    <a:xfrm>
                      <a:off x="0" y="0"/>
                      <a:ext cx="6217920" cy="4304354"/>
                    </a:xfrm>
                    <a:prstGeom prst="rect"/>
                  </pic:spPr>
                </pic:pic>
              </a:graphicData>
            </a:graphic>
          </wp:inline>
        </w:drawing>
      </w:r>
    </w:p>
    <w:p>
      <w:pPr>
        <w:pStyle w:val="Caption"/>
      </w:pPr>
      <w:r>
        <w:rPr>
          <w:b w:val="0"/>
          <w:i w:val="0"/>
        </w:rPr>
        <w:t>The selected record editor occupies the upper pane; units and locks are beside each value.</w:t>
      </w:r>
      <w:r>
        <w:rPr>
          <w:b w:val="0"/>
          <w:i w:val="0"/>
        </w:rPr>
        <w:t xml:space="preserve"> </w:t>
      </w:r>
      <w:r>
        <w:rPr>
          <w:b w:val="0"/>
          <w:i w:val="0"/>
        </w:rPr>
        <w:t xml:space="preserve"> </w:t>
      </w:r>
      <w:hyperlink r:id="rId1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pStyle w:val="Heading2"/>
      </w:pPr>
      <w:r>
        <w:t>Simulation workflow and scene controls</w:t>
      </w:r>
    </w:p>
    <w:p>
      <w:pPr/>
      <w:r>
        <w:rPr>
          <w:b w:val="0"/>
          <w:i w:val="0"/>
        </w:rPr>
        <w:t>The Simulation tab combines the connected inputs and model workflow. Use Titles, Details, Table and zoom to fit it; Show data and Show model workflow reveal separate layers. The first click focuses a block and the next opens its record.</w:t>
      </w:r>
    </w:p>
    <w:p>
      <w:pPr>
        <w:pStyle w:val="ListBullet"/>
      </w:pPr>
      <w:r>
        <w:rPr>
          <w:b w:val="0"/>
          <w:i w:val="0"/>
        </w:rPr>
        <w:t>Use the searchable simulation selector above the left tree to change the active case.</w:t>
      </w:r>
    </w:p>
    <w:p>
      <w:pPr>
        <w:pStyle w:val="ListBullet"/>
      </w:pPr>
      <w:r>
        <w:rPr>
          <w:b w:val="0"/>
          <w:i w:val="0"/>
        </w:rPr>
        <w:t>Use the global Lite–Advanced switch for the workspace, or a local switch for one area.</w:t>
      </w:r>
    </w:p>
    <w:p>
      <w:pPr>
        <w:pStyle w:val="ListBullet"/>
      </w:pPr>
      <w:r>
        <w:rPr>
          <w:b w:val="0"/>
          <w:i w:val="0"/>
        </w:rPr>
        <w:t>Inputs, Split and Outputs allocate pane space. Back and Forward revisit scenes, not previous data values.</w:t>
      </w:r>
    </w:p>
    <w:p>
      <w:pPr>
        <w:pStyle w:val="ListBullet"/>
      </w:pPr>
      <w:r>
        <w:rPr>
          <w:b w:val="0"/>
          <w:i w:val="0"/>
        </w:rPr>
        <w:t>Use the visible Solver status to distinguish live updates, Run required and outdated results.</w:t>
      </w:r>
    </w:p>
    <w:p>
      <w:pPr>
        <w:keepNext/>
        <w:jc w:val="center"/>
      </w:pPr>
      <w:r>
        <w:drawing>
          <wp:inline xmlns:a="http://schemas.openxmlformats.org/drawingml/2006/main" xmlns:pic="http://schemas.openxmlformats.org/drawingml/2006/picture">
            <wp:extent cx="6217920" cy="4897347"/>
            <wp:docPr id="9" name="Picture 9" descr="Review linked inputs in Simulation (shown as Solve in this capture) before using Run."/>
            <wp:cNvGraphicFramePr>
              <a:graphicFrameLocks noChangeAspect="1"/>
            </wp:cNvGraphicFramePr>
            <a:graphic>
              <a:graphicData uri="http://schemas.openxmlformats.org/drawingml/2006/picture">
                <pic:pic>
                  <pic:nvPicPr>
                    <pic:cNvPr id="0" name="3e4919cb93ecd9e289678ee90a91fc92d8494fb6fad77bf561f1f4a89382fe84.png"/>
                    <pic:cNvPicPr/>
                  </pic:nvPicPr>
                  <pic:blipFill>
                    <a:blip r:embed="rId19"/>
                    <a:stretch>
                      <a:fillRect/>
                    </a:stretch>
                  </pic:blipFill>
                  <pic:spPr>
                    <a:xfrm>
                      <a:off x="0" y="0"/>
                      <a:ext cx="6217920" cy="4897347"/>
                    </a:xfrm>
                    <a:prstGeom prst="rect"/>
                  </pic:spPr>
                </pic:pic>
              </a:graphicData>
            </a:graphic>
          </wp:inline>
        </w:drawing>
      </w:r>
    </w:p>
    <w:p>
      <w:pPr>
        <w:pStyle w:val="Caption"/>
      </w:pPr>
      <w:r>
        <w:rPr>
          <w:b w:val="0"/>
          <w:i w:val="0"/>
        </w:rPr>
        <w:t>Review linked inputs in Simulation (shown as Solve in this capture) before using Run.</w:t>
      </w:r>
      <w:r>
        <w:rPr>
          <w:b w:val="0"/>
          <w:i w:val="0"/>
        </w:rPr>
        <w:t xml:space="preserve"> </w:t>
      </w:r>
      <w:r>
        <w:rPr>
          <w:b w:val="0"/>
          <w:i w:val="0"/>
        </w:rPr>
        <w:t xml:space="preserve"> </w:t>
      </w:r>
      <w:hyperlink r:id="rId20">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pStyle w:val="Heading2"/>
      </w:pPr>
      <w:r>
        <w:t>Results workspace</w:t>
      </w:r>
    </w:p>
    <w:p>
      <w:pPr/>
      <w:r>
        <w:rPr>
          <w:b w:val="0"/>
          <w:i w:val="0"/>
        </w:rPr>
        <w:t>Materials, Micromechanics, and Laminates use the same four result views: Table, Ashby, Bar, and Line. The active tab is clearly highlighted. A single selected record shows its property view; multiple selected records use properties as rows and records as columns.</w:t>
      </w:r>
    </w:p>
    <w:p>
      <w:pPr>
        <w:keepNext/>
        <w:jc w:val="center"/>
      </w:pPr>
      <w:r>
        <w:drawing>
          <wp:inline xmlns:a="http://schemas.openxmlformats.org/drawingml/2006/main" xmlns:pic="http://schemas.openxmlformats.org/drawingml/2006/picture">
            <wp:extent cx="6217920" cy="4304354"/>
            <wp:docPr id="10" name="Picture 10" descr="The lower pane contains output selection, comparison table, chart controls and the plot."/>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15"/>
                    <a:stretch>
                      <a:fillRect/>
                    </a:stretch>
                  </pic:blipFill>
                  <pic:spPr>
                    <a:xfrm>
                      <a:off x="0" y="0"/>
                      <a:ext cx="6217920" cy="4304354"/>
                    </a:xfrm>
                    <a:prstGeom prst="rect"/>
                  </pic:spPr>
                </pic:pic>
              </a:graphicData>
            </a:graphic>
          </wp:inline>
        </w:drawing>
      </w:r>
    </w:p>
    <w:p>
      <w:pPr>
        <w:pStyle w:val="Caption"/>
      </w:pPr>
      <w:r>
        <w:rPr>
          <w:b w:val="0"/>
          <w:i w:val="0"/>
        </w:rPr>
        <w:t>The lower pane contains output selection, comparison table, chart controls and the plot.</w:t>
      </w:r>
      <w:r>
        <w:rPr>
          <w:b w:val="0"/>
          <w:i w:val="0"/>
        </w:rPr>
        <w:t xml:space="preserve"> </w:t>
      </w:r>
      <w:r>
        <w:rPr>
          <w:b w:val="0"/>
          <w:i w:val="0"/>
        </w:rPr>
        <w:t xml:space="preserve"> </w:t>
      </w:r>
      <w:hyperlink r:id="rId1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Choose actual records from the tree or selection menu. Category headings organize the data but are not plot-all shortcuts.</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3" w:name="chapter_3"/>
      <w:pPr>
        <w:pStyle w:val="Heading1"/>
        <w:pageBreakBefore/>
      </w:pPr>
      <w:r>
        <w:t>3 Use the interface deliberately and efficiently</w:t>
      </w:r>
      <w:bookmarkEnd w:id="3"/>
    </w:p>
    <w:p>
      <w:pPr>
        <w:pStyle w:val="Caption"/>
      </w:pPr>
      <w:hyperlink r:id="rId23">
        <w:r>
          <w:rPr>
            <w:color w:val="176EA4"/>
          </w:rPr>
          <w:t>Online chapter</w:t>
        </w:r>
      </w:hyperlink>
      <w:r>
        <w:t xml:space="preserve"> </w:t>
      </w:r>
    </w:p>
    <w:p>
      <w:pPr/>
      <w:r>
        <w:rPr>
          <w:b w:val="0"/>
          <w:i w:val="0"/>
        </w:rPr>
        <w:t>A practical operating pattern for compact navigation, model checks, result comparison, and portable data.</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hyperlink r:id="rId14">
        <w:r>
          <w:rPr>
            <w:color w:val="176EA4"/>
          </w:rPr>
          <w:t>All exercises, case studies and simulation examples →</w:t>
        </w:r>
      </w:hyperlink>
      <w:r>
        <w:t xml:space="preserve"> </w:t>
      </w:r>
      <w:r>
        <w:rPr>
          <w:b w:val="0"/>
          <w:i w:val="0"/>
        </w:rPr>
        <w:t xml:space="preserve"> · </w:t>
      </w:r>
      <w:hyperlink r:id="rId12">
        <w:r>
          <w:rPr>
            <w:color w:val="176EA4"/>
          </w:rPr>
          <w:t>Your CDS library: overview, manuals and database downloads →</w:t>
        </w:r>
      </w:hyperlink>
      <w:r>
        <w:t xml:space="preserve"> </w:t>
      </w:r>
    </w:p>
    <w:p>
      <w:pPr>
        <w:pStyle w:val="Heading2"/>
      </w:pPr>
      <w:r>
        <w:t>Right-click help throughout the Workbench</w:t>
      </w:r>
    </w:p>
    <w:p>
      <w:pPr/>
      <w:r>
        <w:rPr>
          <w:b w:val="0"/>
          <w:i w:val="0"/>
        </w:rPr>
        <w:t>Right-click a record, input, workflow block, result plot or workspace area and choose its Help link. Existing edit, export and plotting actions remain in their menus; help opens the relevant manual section in a separate tab.</w:t>
      </w:r>
    </w:p>
    <w:p>
      <w:pPr>
        <w:pStyle w:val="ListBullet"/>
      </w:pPr>
      <w:r>
        <w:rPr>
          <w:b w:val="0"/>
          <w:i w:val="0"/>
        </w:rPr>
        <w:t>Use the help item on the area you are working in: Inputs and Outputs have separate context, and workflow blocks use their own module.</w:t>
      </w:r>
    </w:p>
    <w:p>
      <w:pPr>
        <w:pStyle w:val="ListBullet"/>
      </w:pPr>
      <w:r>
        <w:rPr>
          <w:b w:val="0"/>
          <w:i w:val="0"/>
        </w:rPr>
        <w:t>Press F1 for help on the focused control, or Shift+F10 to open its context menu using the keyboard.</w:t>
      </w:r>
    </w:p>
    <w:p>
      <w:pPr>
        <w:pStyle w:val="ListBullet"/>
      </w:pPr>
      <w:r>
        <w:rPr>
          <w:b w:val="0"/>
          <w:i w:val="0"/>
        </w:rPr>
        <w:t>Use Shift+right-click when you need the browser's native menu, including text editing and link actions.</w:t>
      </w:r>
    </w:p>
    <w:p>
      <w:pPr>
        <w:pStyle w:val="ListBullet"/>
      </w:pPr>
      <w:r>
        <w:rPr>
          <w:b w:val="0"/>
          <w:i w:val="0"/>
        </w:rPr>
        <w:t>Open the Exercise manual for the complete searchable curriculum, then use the user portal Database library to download current exercise copies.</w:t>
      </w:r>
    </w:p>
    <w:p>
      <w:pPr>
        <w:keepNext/>
      </w:pPr>
      <w:r>
        <w:t>Good practice</w:t>
      </w:r>
    </w:p>
    <w:p>
      <w:pPr/>
      <w:r>
        <w:rPr>
          <w:b w:val="0"/>
          <w:i w:val="0"/>
        </w:rPr>
        <w:t>Help links explain controls and model limitations; they do not validate your material data or mark a solution as passing.</w:t>
      </w:r>
    </w:p>
    <w:p>
      <w:pPr>
        <w:pStyle w:val="Heading2"/>
      </w:pPr>
      <w:r>
        <w:t>Use Project Manager consistently</w:t>
      </w:r>
    </w:p>
    <w:p>
      <w:pPr/>
      <w:r>
        <w:rPr>
          <w:b w:val="0"/>
          <w:i w:val="0"/>
        </w:rPr>
        <w:t>Project Manager mirrors record right-click operations. Use whichever access point is faster, but always verify the selected item and action scope first.</w:t>
      </w:r>
    </w:p>
    <w:p>
      <w:pPr>
        <w:keepNext/>
        <w:jc w:val="center"/>
      </w:pPr>
      <w:r>
        <w:drawing>
          <wp:inline xmlns:a="http://schemas.openxmlformats.org/drawingml/2006/main" xmlns:pic="http://schemas.openxmlformats.org/drawingml/2006/picture">
            <wp:extent cx="6217920" cy="5545711"/>
            <wp:docPr id="11" name="Picture 11" descr="The record context menu exposes Open, Create, Duplicate, Move, Save and Delete actions for the selected record."/>
            <wp:cNvGraphicFramePr>
              <a:graphicFrameLocks noChangeAspect="1"/>
            </wp:cNvGraphicFramePr>
            <a:graphic>
              <a:graphicData uri="http://schemas.openxmlformats.org/drawingml/2006/picture">
                <pic:pic>
                  <pic:nvPicPr>
                    <pic:cNvPr id="0" name="b91d230f0a73048d57b704049bcf17c3d04bd0f9cda647340b93d06d9a8718d7.png"/>
                    <pic:cNvPicPr/>
                  </pic:nvPicPr>
                  <pic:blipFill>
                    <a:blip r:embed="rId24"/>
                    <a:stretch>
                      <a:fillRect/>
                    </a:stretch>
                  </pic:blipFill>
                  <pic:spPr>
                    <a:xfrm>
                      <a:off x="0" y="0"/>
                      <a:ext cx="6217920" cy="5545711"/>
                    </a:xfrm>
                    <a:prstGeom prst="rect"/>
                  </pic:spPr>
                </pic:pic>
              </a:graphicData>
            </a:graphic>
          </wp:inline>
        </w:drawing>
      </w:r>
    </w:p>
    <w:p>
      <w:pPr>
        <w:pStyle w:val="Caption"/>
      </w:pPr>
      <w:r>
        <w:rPr>
          <w:b w:val="0"/>
          <w:i w:val="0"/>
        </w:rPr>
        <w:t>The record context menu exposes Open, Create, Duplicate, Move, Save and Delete actions for the selected record.</w:t>
      </w:r>
      <w:r>
        <w:rPr>
          <w:b w:val="0"/>
          <w:i w:val="0"/>
        </w:rPr>
        <w:t xml:space="preserve"> </w:t>
      </w:r>
      <w:r>
        <w:rPr>
          <w:b w:val="0"/>
          <w:i w:val="0"/>
        </w:rPr>
        <w:t xml:space="preserve"> </w:t>
      </w:r>
      <w:hyperlink r:id="rId25">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pStyle w:val="Heading2"/>
      </w:pPr>
      <w:r>
        <w:t>Adjust and retain interface settings</w:t>
      </w:r>
    </w:p>
    <w:p>
      <w:pPr/>
      <w:r>
        <w:rPr>
          <w:b w:val="0"/>
          <w:i w:val="0"/>
        </w:rPr>
        <w:t>Open Settings: Visual for font size and appearance. Settings: General is available from the top menu and the pop-up settings panel. Preferences are stored on the user’s local system, including optional automatic simulation on opening when the connected model is complete. Choose a density that keeps descriptors readable without hiding the connection summary.</w:t>
      </w:r>
    </w:p>
    <w:p>
      <w:pPr>
        <w:pStyle w:val="Heading2"/>
      </w:pPr>
      <w:r>
        <w:t>Filter without losing context</w:t>
      </w:r>
    </w:p>
    <w:p>
      <w:pPr/>
      <w:r>
        <w:rPr>
          <w:b w:val="0"/>
          <w:i w:val="0"/>
        </w:rPr>
        <w:t>Prefer the compact All records dropdown and virtual-folder filters over collapsing the entire tree manually. Filters retain the menu structure, highlight the active state, and change the heading to Workspace filtered result. Single-click selects; use the chevron or double-click to open child items.</w:t>
      </w:r>
    </w:p>
    <w:p>
      <w:pPr>
        <w:keepNext/>
        <w:jc w:val="center"/>
      </w:pPr>
      <w:r>
        <w:drawing>
          <wp:inline xmlns:a="http://schemas.openxmlformats.org/drawingml/2006/main" xmlns:pic="http://schemas.openxmlformats.org/drawingml/2006/picture">
            <wp:extent cx="6217920" cy="4304354"/>
            <wp:docPr id="12" name="Picture 12" descr="Search and filter controls sit above the project tree."/>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15"/>
                    <a:stretch>
                      <a:fillRect/>
                    </a:stretch>
                  </pic:blipFill>
                  <pic:spPr>
                    <a:xfrm>
                      <a:off x="0" y="0"/>
                      <a:ext cx="6217920" cy="4304354"/>
                    </a:xfrm>
                    <a:prstGeom prst="rect"/>
                  </pic:spPr>
                </pic:pic>
              </a:graphicData>
            </a:graphic>
          </wp:inline>
        </w:drawing>
      </w:r>
    </w:p>
    <w:p>
      <w:pPr>
        <w:pStyle w:val="Caption"/>
      </w:pPr>
      <w:r>
        <w:rPr>
          <w:b w:val="0"/>
          <w:i w:val="0"/>
        </w:rPr>
        <w:t>Search and filter controls sit above the project tree.</w:t>
      </w:r>
      <w:r>
        <w:rPr>
          <w:b w:val="0"/>
          <w:i w:val="0"/>
        </w:rPr>
        <w:t xml:space="preserve"> </w:t>
      </w:r>
      <w:r>
        <w:rPr>
          <w:b w:val="0"/>
          <w:i w:val="0"/>
        </w:rPr>
        <w:t xml:space="preserve"> </w:t>
      </w:r>
      <w:hyperlink r:id="rId1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pStyle w:val="Heading2"/>
      </w:pPr>
      <w:r>
        <w:t>Use locks bounds and increments</w:t>
      </w:r>
    </w:p>
    <w:p>
      <w:pPr/>
      <w:r>
        <w:rPr>
          <w:b w:val="0"/>
          <w:i w:val="0"/>
        </w:rPr>
        <w:t>Keep trusted properties locked. Unlock only the values being changed, use physically meaningful bounds, select an increment appropriate to the property scale, and relock after review.</w:t>
      </w:r>
    </w:p>
    <w:p>
      <w:pPr>
        <w:keepNext/>
        <w:jc w:val="center"/>
      </w:pPr>
      <w:r>
        <w:drawing>
          <wp:inline xmlns:a="http://schemas.openxmlformats.org/drawingml/2006/main" xmlns:pic="http://schemas.openxmlformats.org/drawingml/2006/picture">
            <wp:extent cx="6217920" cy="4304354"/>
            <wp:docPr id="13" name="Picture 13" descr="Row locks sit beside the units; the group lock is in the table header."/>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15"/>
                    <a:stretch>
                      <a:fillRect/>
                    </a:stretch>
                  </pic:blipFill>
                  <pic:spPr>
                    <a:xfrm>
                      <a:off x="0" y="0"/>
                      <a:ext cx="6217920" cy="4304354"/>
                    </a:xfrm>
                    <a:prstGeom prst="rect"/>
                  </pic:spPr>
                </pic:pic>
              </a:graphicData>
            </a:graphic>
          </wp:inline>
        </w:drawing>
      </w:r>
    </w:p>
    <w:p>
      <w:pPr>
        <w:pStyle w:val="Caption"/>
      </w:pPr>
      <w:r>
        <w:rPr>
          <w:b w:val="0"/>
          <w:i w:val="0"/>
        </w:rPr>
        <w:t>Row locks sit beside the units; the group lock is in the table header.</w:t>
      </w:r>
      <w:r>
        <w:rPr>
          <w:b w:val="0"/>
          <w:i w:val="0"/>
        </w:rPr>
        <w:t xml:space="preserve"> </w:t>
      </w:r>
      <w:r>
        <w:rPr>
          <w:b w:val="0"/>
          <w:i w:val="0"/>
        </w:rPr>
        <w:t xml:space="preserve"> </w:t>
      </w:r>
      <w:hyperlink r:id="rId1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pStyle w:val="Heading2"/>
      </w:pPr>
      <w:r>
        <w:t>Choose the result view that fits the task</w:t>
      </w:r>
    </w:p>
    <w:p>
      <w:pPr/>
      <w:r>
        <w:rPr>
          <w:b w:val="0"/>
          <w:i w:val="0"/>
        </w:rPr>
        <w:t>Materials, Micromechanics, Laminates and saved optimizations share Table, Ashby, Bar, and Line views. Use the clearly highlighted active tab for one-record inspection or multi-record comparison. Run leaves that selected tab in place. Wide and tall tables scroll inside the application rather than extending beyond the window.</w:t>
      </w:r>
    </w:p>
    <w:p>
      <w:pPr>
        <w:keepNext/>
        <w:jc w:val="center"/>
      </w:pPr>
      <w:r>
        <w:drawing>
          <wp:inline xmlns:a="http://schemas.openxmlformats.org/drawingml/2006/main" xmlns:pic="http://schemas.openxmlformats.org/drawingml/2006/picture">
            <wp:extent cx="6217920" cy="4304354"/>
            <wp:docPr id="14" name="Picture 14" descr="The lower output pane separates comparison data and chart controls with an adjustable divider."/>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15"/>
                    <a:stretch>
                      <a:fillRect/>
                    </a:stretch>
                  </pic:blipFill>
                  <pic:spPr>
                    <a:xfrm>
                      <a:off x="0" y="0"/>
                      <a:ext cx="6217920" cy="4304354"/>
                    </a:xfrm>
                    <a:prstGeom prst="rect"/>
                  </pic:spPr>
                </pic:pic>
              </a:graphicData>
            </a:graphic>
          </wp:inline>
        </w:drawing>
      </w:r>
    </w:p>
    <w:p>
      <w:pPr>
        <w:pStyle w:val="Caption"/>
      </w:pPr>
      <w:r>
        <w:rPr>
          <w:b w:val="0"/>
          <w:i w:val="0"/>
        </w:rPr>
        <w:t>The lower output pane separates comparison data and chart controls with an adjustable divider.</w:t>
      </w:r>
      <w:r>
        <w:rPr>
          <w:b w:val="0"/>
          <w:i w:val="0"/>
        </w:rPr>
        <w:t xml:space="preserve"> </w:t>
      </w:r>
      <w:r>
        <w:rPr>
          <w:b w:val="0"/>
          <w:i w:val="0"/>
        </w:rPr>
        <w:t xml:space="preserve"> </w:t>
      </w:r>
      <w:hyperlink r:id="rId1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For multiple selections, the table places properties in rows and selected records in columns.</w:t>
      </w:r>
    </w:p>
    <w:p>
      <w:pPr>
        <w:pStyle w:val="Heading2"/>
      </w:pPr>
      <w:r>
        <w:t>Control 2D and 3D plots</w:t>
      </w:r>
    </w:p>
    <w:p>
      <w:pPr/>
      <w:r>
        <w:rPr>
          <w:b w:val="0"/>
          <w:i w:val="0"/>
        </w:rPr>
        <w:t>Three-dimensional plots default to a filled surface at 55% opacity. Use Fill, opacity, mesh, extrema and Autoscale on/off to expose the shape without losing the sampled data. Carpet plots place their 2D/3D selector at the top and provide an adjustable divider between controls, plot and live laminate.</w:t>
      </w:r>
    </w:p>
    <w:p>
      <w:pPr>
        <w:keepNext w:val="0"/>
        <w:jc w:val="center"/>
      </w:pPr>
      <w:r>
        <w:drawing>
          <wp:inline xmlns:a="http://schemas.openxmlformats.org/drawingml/2006/main" xmlns:pic="http://schemas.openxmlformats.org/drawingml/2006/picture">
            <wp:extent cx="6217920" cy="3280536"/>
            <wp:docPr id="15" name="Picture 15" descr="The 2D view keeps axes, extrema and sweep setup beside the plot."/>
            <wp:cNvGraphicFramePr>
              <a:graphicFrameLocks noChangeAspect="1"/>
            </wp:cNvGraphicFramePr>
            <a:graphic>
              <a:graphicData uri="http://schemas.openxmlformats.org/drawingml/2006/picture">
                <pic:pic>
                  <pic:nvPicPr>
                    <pic:cNvPr id="0" name="1dd02172858cfcf9f54466aa4121d47f4c3de38e28e80a565cd9c30c37606458.png"/>
                    <pic:cNvPicPr/>
                  </pic:nvPicPr>
                  <pic:blipFill>
                    <a:blip r:embed="rId26"/>
                    <a:stretch>
                      <a:fillRect/>
                    </a:stretch>
                  </pic:blipFill>
                  <pic:spPr>
                    <a:xfrm>
                      <a:off x="0" y="0"/>
                      <a:ext cx="6217920" cy="3280536"/>
                    </a:xfrm>
                    <a:prstGeom prst="rect"/>
                  </pic:spPr>
                </pic:pic>
              </a:graphicData>
            </a:graphic>
          </wp:inline>
        </w:drawing>
      </w:r>
    </w:p>
    <w:p>
      <w:pPr>
        <w:pStyle w:val="Caption"/>
      </w:pPr>
      <w:r>
        <w:rPr>
          <w:b w:val="0"/>
          <w:i w:val="0"/>
        </w:rPr>
        <w:t>The 2D view keeps axes, extrema and sweep setup beside the plot.</w:t>
      </w:r>
      <w:r>
        <w:rPr>
          <w:b w:val="0"/>
          <w:i w:val="0"/>
        </w:rPr>
        <w:t xml:space="preserve"> </w:t>
      </w:r>
      <w:r>
        <w:rPr>
          <w:b w:val="0"/>
          <w:i w:val="0"/>
        </w:rPr>
        <w:t xml:space="preserve"> </w:t>
      </w:r>
      <w:hyperlink r:id="rId27">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jc w:val="center"/>
      </w:pPr>
      <w:r>
        <w:drawing>
          <wp:inline xmlns:a="http://schemas.openxmlformats.org/drawingml/2006/main" xmlns:pic="http://schemas.openxmlformats.org/drawingml/2006/picture">
            <wp:extent cx="6217920" cy="3280536"/>
            <wp:docPr id="16" name="Picture 16" descr="Use View to select 3D, Height to choose the vertical quantity, and Autoscale or Reset view to frame the surface."/>
            <wp:cNvGraphicFramePr>
              <a:graphicFrameLocks noChangeAspect="1"/>
            </wp:cNvGraphicFramePr>
            <a:graphic>
              <a:graphicData uri="http://schemas.openxmlformats.org/drawingml/2006/picture">
                <pic:pic>
                  <pic:nvPicPr>
                    <pic:cNvPr id="0" name="cf11ad228c689aa3ef9f1f18e5981856968b8324e71e9c4071cc3d2ff7a5a262.png"/>
                    <pic:cNvPicPr/>
                  </pic:nvPicPr>
                  <pic:blipFill>
                    <a:blip r:embed="rId28"/>
                    <a:stretch>
                      <a:fillRect/>
                    </a:stretch>
                  </pic:blipFill>
                  <pic:spPr>
                    <a:xfrm>
                      <a:off x="0" y="0"/>
                      <a:ext cx="6217920" cy="3280536"/>
                    </a:xfrm>
                    <a:prstGeom prst="rect"/>
                  </pic:spPr>
                </pic:pic>
              </a:graphicData>
            </a:graphic>
          </wp:inline>
        </w:drawing>
      </w:r>
    </w:p>
    <w:p>
      <w:pPr>
        <w:pStyle w:val="Caption"/>
      </w:pPr>
      <w:r>
        <w:rPr>
          <w:b w:val="0"/>
          <w:i w:val="0"/>
        </w:rPr>
        <w:t>Use View to select 3D, Height to choose the vertical quantity, and Autoscale or Reset view to frame the surface.</w:t>
      </w:r>
      <w:r>
        <w:rPr>
          <w:b w:val="0"/>
          <w:i w:val="0"/>
        </w:rPr>
        <w:t xml:space="preserve"> </w:t>
      </w:r>
      <w:r>
        <w:rPr>
          <w:b w:val="0"/>
          <w:i w:val="0"/>
        </w:rPr>
        <w:t xml:space="preserve"> </w:t>
      </w:r>
      <w:hyperlink r:id="rId29">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Turning autoscale off preserves the current limits for comparison; verify that new points have not moved outside those limits.</w:t>
      </w:r>
    </w:p>
    <w:p>
      <w:pPr>
        <w:pStyle w:val="Heading2"/>
      </w:pPr>
      <w:r>
        <w:t>Export tabular evidence</w:t>
      </w:r>
    </w:p>
    <w:p>
      <w:pPr/>
      <w:r>
        <w:rPr>
          <w:b w:val="0"/>
          <w:i w:val="0"/>
        </w:rPr>
        <w:t>Right-click supported tables to save or hand off the visible data in common formats, including CSV and XLSX, with presentation-oriented PPTX export where available. Export uses the current selection, property set and units; confirm those before distribution.</w:t>
      </w:r>
    </w:p>
    <w:p>
      <w:pPr>
        <w:pStyle w:val="Heading2"/>
      </w:pPr>
      <w:r>
        <w:t>Read the two-layer simulation workflow</w:t>
      </w:r>
    </w:p>
    <w:p>
      <w:pPr/>
      <w:r>
        <w:rPr>
          <w:b w:val="0"/>
          <w:i w:val="0"/>
        </w:rPr>
        <w:t>The simulation summary separates connected records from their selected models. Use Titles, Details or Table and the zoom controls to fit the overview. Select a block to focus it, then select it again to open its record.</w:t>
      </w:r>
    </w:p>
    <w:p>
      <w:pPr>
        <w:pStyle w:val="ListBullet"/>
      </w:pPr>
      <w:r>
        <w:rPr>
          <w:b w:val="0"/>
          <w:i w:val="0"/>
        </w:rPr>
        <w:t>Show data reveals the key properties passed between modules; hiding it only reduces visual detail.</w:t>
      </w:r>
    </w:p>
    <w:p>
      <w:pPr>
        <w:pStyle w:val="ListBullet"/>
      </w:pPr>
      <w:r>
        <w:rPr>
          <w:b w:val="0"/>
          <w:i w:val="0"/>
        </w:rPr>
        <w:t>Show model workflow reveals the first model layer. Expand Submodels and Scope &amp; theory to inspect formulation choices, calibration and limitations.</w:t>
      </w:r>
    </w:p>
    <w:p>
      <w:pPr>
        <w:pStyle w:val="ListBullet"/>
      </w:pPr>
      <w:r>
        <w:rPr>
          <w:b w:val="0"/>
          <w:i w:val="0"/>
        </w:rPr>
        <w:t>Right-click a model block or the Models browser for that model family's theory. Nested fatigue help opens the separate fatigue assessment.</w:t>
      </w:r>
    </w:p>
    <w:p>
      <w:pPr>
        <w:pStyle w:val="ListBullet"/>
      </w:pPr>
      <w:r>
        <w:rPr>
          <w:b w:val="0"/>
          <w:i w:val="0"/>
        </w:rPr>
        <w:t>Arrow animation is optional. An animated connection does not mean a calculation is running or that its result is current.</w:t>
      </w:r>
    </w:p>
    <w:p>
      <w:pPr>
        <w:keepNext/>
        <w:jc w:val="center"/>
      </w:pPr>
      <w:r>
        <w:drawing>
          <wp:inline xmlns:a="http://schemas.openxmlformats.org/drawingml/2006/main" xmlns:pic="http://schemas.openxmlformats.org/drawingml/2006/picture">
            <wp:extent cx="6217920" cy="4897347"/>
            <wp:docPr id="17" name="Picture 17" descr="Use the linked-record view in Simulation (shown as Solve in this capture) to check simulation dependencies."/>
            <wp:cNvGraphicFramePr>
              <a:graphicFrameLocks noChangeAspect="1"/>
            </wp:cNvGraphicFramePr>
            <a:graphic>
              <a:graphicData uri="http://schemas.openxmlformats.org/drawingml/2006/picture">
                <pic:pic>
                  <pic:nvPicPr>
                    <pic:cNvPr id="0" name="3e4919cb93ecd9e289678ee90a91fc92d8494fb6fad77bf561f1f4a89382fe84.png"/>
                    <pic:cNvPicPr/>
                  </pic:nvPicPr>
                  <pic:blipFill>
                    <a:blip r:embed="rId19"/>
                    <a:stretch>
                      <a:fillRect/>
                    </a:stretch>
                  </pic:blipFill>
                  <pic:spPr>
                    <a:xfrm>
                      <a:off x="0" y="0"/>
                      <a:ext cx="6217920" cy="4897347"/>
                    </a:xfrm>
                    <a:prstGeom prst="rect"/>
                  </pic:spPr>
                </pic:pic>
              </a:graphicData>
            </a:graphic>
          </wp:inline>
        </w:drawing>
      </w:r>
    </w:p>
    <w:p>
      <w:pPr>
        <w:pStyle w:val="Caption"/>
      </w:pPr>
      <w:r>
        <w:rPr>
          <w:b w:val="0"/>
          <w:i w:val="0"/>
        </w:rPr>
        <w:t>Use the linked-record view in Simulation (shown as Solve in this capture) to check simulation dependencies.</w:t>
      </w:r>
      <w:r>
        <w:rPr>
          <w:b w:val="0"/>
          <w:i w:val="0"/>
        </w:rPr>
        <w:t xml:space="preserve"> </w:t>
      </w:r>
      <w:r>
        <w:rPr>
          <w:b w:val="0"/>
          <w:i w:val="0"/>
        </w:rPr>
        <w:t xml:space="preserve"> </w:t>
      </w:r>
      <w:hyperlink r:id="rId20">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Tree nesting shows related methods, not automatic solver compatibility. CLT/FSDT finite-plate studies, progressive failure, cohesive growth and fatigue have distinct supported paths.</w:t>
      </w:r>
    </w:p>
    <w:p>
      <w:pPr>
        <w:pStyle w:val="Heading2"/>
      </w:pPr>
      <w:r>
        <w:t>Make room without losing your place</w:t>
      </w:r>
    </w:p>
    <w:p>
      <w:pPr/>
      <w:r>
        <w:rPr>
          <w:b w:val="0"/>
          <w:i w:val="0"/>
        </w:rPr>
        <w:t>Use Lite for a compact workspace and Advanced to expose additional controls. The global switch affects the workspace; local switches expand only their own area. Neither changes model permissions or disables linked physics.</w:t>
      </w:r>
    </w:p>
    <w:p>
      <w:pPr>
        <w:pStyle w:val="ListBullet"/>
      </w:pPr>
      <w:r>
        <w:rPr>
          <w:b w:val="0"/>
          <w:i w:val="0"/>
        </w:rPr>
        <w:t>Use Inputs, Split and Outputs at the top, or the expand icon on either pane, to give editing or results more room. Restore Split to return to the divided layout.</w:t>
      </w:r>
    </w:p>
    <w:p>
      <w:pPr>
        <w:pStyle w:val="ListBullet"/>
      </w:pPr>
      <w:r>
        <w:rPr>
          <w:b w:val="0"/>
          <w:i w:val="0"/>
        </w:rPr>
        <w:t>On narrow windows, toolbar text reduces to icons. Hover for a label, or focus the control with the keyboard.</w:t>
      </w:r>
    </w:p>
    <w:p>
      <w:pPr>
        <w:pStyle w:val="ListBullet"/>
      </w:pPr>
      <w:r>
        <w:rPr>
          <w:b w:val="0"/>
          <w:i w:val="0"/>
        </w:rPr>
        <w:t>Use Back and Forward to revisit input/output scenes. This changes navigation, not your saved data; it is not Undo.</w:t>
      </w:r>
    </w:p>
    <w:p>
      <w:pPr>
        <w:pStyle w:val="Heading2"/>
      </w:pPr>
      <w:r>
        <w:t>Start with CREATE DISCOVER or SIMULATE</w:t>
      </w:r>
    </w:p>
    <w:p>
      <w:pPr/>
      <w:r>
        <w:rPr>
          <w:b w:val="0"/>
          <w:i w:val="0"/>
        </w:rPr>
        <w:t>CREATE guides a starter design; DISCOVER explores the live laminate; SIMULATE opens the normal workspace. Levels in CREATE and DISCOVER introduce more detail without turning teaching defaults into qualified design data.</w:t>
      </w:r>
    </w:p>
    <w:p>
      <w:pPr>
        <w:pStyle w:val="ListBullet"/>
      </w:pPr>
      <w:r>
        <w:rPr>
          <w:b w:val="0"/>
          <w:i w:val="0"/>
        </w:rPr>
        <w:t>In SIMULATE, open Walkthrough highlights and choose an exercise. It opens an independent example with blue step-by-step callouts.</w:t>
      </w:r>
    </w:p>
    <w:p>
      <w:pPr>
        <w:pStyle w:val="ListBullet"/>
      </w:pPr>
      <w:r>
        <w:rPr>
          <w:b w:val="0"/>
          <w:i w:val="0"/>
        </w:rPr>
        <w:t>Move through the steps at your own pace. Run remains a deliberate action and account permissions still apply.</w:t>
      </w:r>
    </w:p>
    <w:p>
      <w:pPr>
        <w:pStyle w:val="ListBullet"/>
      </w:pPr>
      <w:r>
        <w:rPr>
          <w:b w:val="0"/>
          <w:i w:val="0"/>
        </w:rPr>
        <w:t>Stop walkthrough is always available during the guide; Escape also stops it. Exit Discovery returns to the opening page.</w:t>
      </w:r>
    </w:p>
    <w:p>
      <w:pPr>
        <w:pStyle w:val="Heading2"/>
      </w:pPr>
      <w:r>
        <w:t>Compare designs and review what changed</w:t>
      </w:r>
    </w:p>
    <w:p>
      <w:pPr/>
      <w:r>
        <w:rPr>
          <w:b w:val="0"/>
          <w:i w:val="0"/>
        </w:rPr>
        <w:t>Expand Compare designs to pin current single-laminate results as A and B. Compare dry weight per area, axial stiffness, available transverse deflection and failure margin.</w:t>
      </w:r>
    </w:p>
    <w:p>
      <w:pPr>
        <w:pStyle w:val="ListBullet"/>
      </w:pPr>
      <w:r>
        <w:rPr>
          <w:b w:val="0"/>
          <w:i w:val="0"/>
        </w:rPr>
        <w:t>Complete a current run before pinning. Open Response → Failure first if you want its assessed margin included.</w:t>
      </w:r>
    </w:p>
    <w:p>
      <w:pPr>
        <w:pStyle w:val="ListBullet"/>
      </w:pPr>
      <w:r>
        <w:rPr>
          <w:b w:val="0"/>
          <w:i w:val="0"/>
        </w:rPr>
        <w:t>Match geometry, loads, units and failure criteria. Not assessed means missing evidence, not zero.</w:t>
      </w:r>
    </w:p>
    <w:p>
      <w:pPr>
        <w:pStyle w:val="ListBullet"/>
      </w:pPr>
      <w:r>
        <w:rPr>
          <w:b w:val="0"/>
          <w:i w:val="0"/>
        </w:rPr>
        <w:t>Expand What changed? to compare inputs against the last successful run. Select a changed input to return to its record; rerun when results are marked outdated.</w:t>
      </w:r>
    </w:p>
    <w:p>
      <w:pPr>
        <w:keepNext/>
      </w:pPr>
      <w:r>
        <w:t>Good practice</w:t>
      </w:r>
    </w:p>
    <w:p>
      <w:pPr/>
      <w:r>
        <w:rPr>
          <w:b w:val="0"/>
          <w:i w:val="0"/>
        </w:rPr>
        <w:t>Pinned results are historical snapshots retained for the workspace session, not live calculations or a saved database backup.</w:t>
      </w:r>
    </w:p>
    <w:p>
      <w:pPr>
        <w:pStyle w:val="Heading2"/>
      </w:pPr>
      <w:r>
        <w:t>Know when to press Run</w:t>
      </w:r>
    </w:p>
    <w:p>
      <w:pPr/>
      <w:r>
        <w:rPr>
          <w:b w:val="0"/>
          <w:i w:val="0"/>
        </w:rPr>
        <w:t>Eligible quick connected calculations refresh after editing pauses. Process histories, mesh and iterative calculations require Run after upstream changes; larger workloads and calculations exceeding the live time budget also switch to Run.</w:t>
      </w:r>
    </w:p>
    <w:p>
      <w:pPr>
        <w:keepNext/>
      </w:pPr>
      <w:r>
        <w:t>Good practice</w:t>
      </w:r>
    </w:p>
    <w:p>
      <w:pPr/>
      <w:r>
        <w:rPr>
          <w:b w:val="0"/>
          <w:i w:val="0"/>
        </w:rPr>
        <w:t>Live refresh does not reduce accuracy or bypass compatibility checks. Follow the visible result status; an old plot is not evidence for changed inputs.</w:t>
      </w:r>
    </w:p>
    <w:p>
      <w:pPr>
        <w:pStyle w:val="Heading2"/>
      </w:pPr>
      <w:r>
        <w:t>Promote effective results to materials</w:t>
      </w:r>
    </w:p>
    <w:p>
      <w:pPr/>
      <w:r>
        <w:rPr>
          <w:b w:val="0"/>
          <w:i w:val="0"/>
        </w:rPr>
        <w:t>The Create Material menu in lamina and laminate results converts predicted effective properties into a normal material record. Select a class, name the record, choose whether to preserve source identity, and decide whether unpredicted fields remain empty or receive class assumptions.</w:t>
      </w:r>
    </w:p>
    <w:p>
      <w:pPr>
        <w:pStyle w:val="Heading2"/>
      </w:pPr>
      <w:r>
        <w:t>Save portable data</w:t>
      </w:r>
    </w:p>
    <w:p>
      <w:pPr/>
      <w:r>
        <w:rPr>
          <w:b w:val="0"/>
          <w:i w:val="0"/>
        </w:rPr>
        <w:t>Use Save Data or the SQLite database actions for a selected record, subtree, or full database. A laminate export should include its dependent laminas and materials so it can be opened on another instance. Context-menu table exports create separate review artifacts; they do not replace a dependency-complete CDS database checkpoint.</w:t>
      </w:r>
    </w:p>
    <w:p>
      <w:pPr>
        <w:keepNext/>
        <w:jc w:val="center"/>
      </w:pPr>
      <w:r>
        <w:drawing>
          <wp:inline xmlns:a="http://schemas.openxmlformats.org/drawingml/2006/main" xmlns:pic="http://schemas.openxmlformats.org/drawingml/2006/picture">
            <wp:extent cx="6217920" cy="5545711"/>
            <wp:docPr id="18" name="Picture 18" descr="Save as CDS_DB is available for the selected record. Verify export dependencies when moving a study to another instance."/>
            <wp:cNvGraphicFramePr>
              <a:graphicFrameLocks noChangeAspect="1"/>
            </wp:cNvGraphicFramePr>
            <a:graphic>
              <a:graphicData uri="http://schemas.openxmlformats.org/drawingml/2006/picture">
                <pic:pic>
                  <pic:nvPicPr>
                    <pic:cNvPr id="0" name="b91d230f0a73048d57b704049bcf17c3d04bd0f9cda647340b93d06d9a8718d7.png"/>
                    <pic:cNvPicPr/>
                  </pic:nvPicPr>
                  <pic:blipFill>
                    <a:blip r:embed="rId24"/>
                    <a:stretch>
                      <a:fillRect/>
                    </a:stretch>
                  </pic:blipFill>
                  <pic:spPr>
                    <a:xfrm>
                      <a:off x="0" y="0"/>
                      <a:ext cx="6217920" cy="5545711"/>
                    </a:xfrm>
                    <a:prstGeom prst="rect"/>
                  </pic:spPr>
                </pic:pic>
              </a:graphicData>
            </a:graphic>
          </wp:inline>
        </w:drawing>
      </w:r>
    </w:p>
    <w:p>
      <w:pPr>
        <w:pStyle w:val="Caption"/>
      </w:pPr>
      <w:r>
        <w:rPr>
          <w:b w:val="0"/>
          <w:i w:val="0"/>
        </w:rPr>
        <w:t>Save as CDS_DB is available for the selected record. Verify export dependencies when moving a study to another instance.</w:t>
      </w:r>
      <w:r>
        <w:rPr>
          <w:b w:val="0"/>
          <w:i w:val="0"/>
        </w:rPr>
        <w:t xml:space="preserve"> </w:t>
      </w:r>
      <w:r>
        <w:rPr>
          <w:b w:val="0"/>
          <w:i w:val="0"/>
        </w:rPr>
        <w:t xml:space="preserve"> </w:t>
      </w:r>
      <w:hyperlink r:id="rId25">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pStyle w:val="Heading2"/>
      </w:pPr>
      <w:r>
        <w:t>Recommended working sequence</w:t>
      </w:r>
    </w:p>
    <w:p>
      <w:pPr/>
      <w:r>
        <w:rPr>
          <w:b w:val="0"/>
          <w:i w:val="0"/>
        </w:rPr>
        <w:t>Organize materials, micromechanics, laminates and geometry, then define Thermal, Moisture, Mechanical or EM cases with their own model and applicable cycle. Choose the combination in the SIMULATION block, using None for unused case types. Review the linked inputs and compatibility warnings before Run, then compare current results. Export a portable data checkpoint before substantial restructuring.</w:t>
      </w:r>
    </w:p>
    <w:p>
      <w:pPr>
        <w:keepNext/>
        <w:jc w:val="center"/>
      </w:pPr>
      <w:r>
        <w:drawing>
          <wp:inline xmlns:a="http://schemas.openxmlformats.org/drawingml/2006/main" xmlns:pic="http://schemas.openxmlformats.org/drawingml/2006/picture">
            <wp:extent cx="6217920" cy="4897347"/>
            <wp:docPr id="19" name="Picture 19" descr="Earlier interface shown for reference. In the current SIMULATION block, select cases that reference the required laminate and geometry; each case owns its applicable cycle."/>
            <wp:cNvGraphicFramePr>
              <a:graphicFrameLocks noChangeAspect="1"/>
            </wp:cNvGraphicFramePr>
            <a:graphic>
              <a:graphicData uri="http://schemas.openxmlformats.org/drawingml/2006/picture">
                <pic:pic>
                  <pic:nvPicPr>
                    <pic:cNvPr id="0" name="3e4919cb93ecd9e289678ee90a91fc92d8494fb6fad77bf561f1f4a89382fe84.png"/>
                    <pic:cNvPicPr/>
                  </pic:nvPicPr>
                  <pic:blipFill>
                    <a:blip r:embed="rId19"/>
                    <a:stretch>
                      <a:fillRect/>
                    </a:stretch>
                  </pic:blipFill>
                  <pic:spPr>
                    <a:xfrm>
                      <a:off x="0" y="0"/>
                      <a:ext cx="6217920" cy="4897347"/>
                    </a:xfrm>
                    <a:prstGeom prst="rect"/>
                  </pic:spPr>
                </pic:pic>
              </a:graphicData>
            </a:graphic>
          </wp:inline>
        </w:drawing>
      </w:r>
    </w:p>
    <w:p>
      <w:pPr>
        <w:pStyle w:val="Caption"/>
      </w:pPr>
      <w:r>
        <w:rPr>
          <w:b w:val="0"/>
          <w:i w:val="0"/>
        </w:rPr>
        <w:t>Earlier interface shown for reference. In the current SIMULATION block, select cases that reference the required laminate and geometry; each case owns its applicable cycle.</w:t>
      </w:r>
      <w:r>
        <w:rPr>
          <w:b w:val="0"/>
          <w:i w:val="0"/>
        </w:rPr>
        <w:t xml:space="preserve"> </w:t>
      </w:r>
      <w:r>
        <w:rPr>
          <w:b w:val="0"/>
          <w:i w:val="0"/>
        </w:rPr>
        <w:t xml:space="preserve"> </w:t>
      </w:r>
      <w:hyperlink r:id="rId20">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Small, named, dependency-complete checkpoints are easier to review and recover than one large unstructured database.</w:t>
      </w:r>
    </w:p>
    <w:p>
      <w:bookmarkStart w:id="4" w:name="chapter_4"/>
      <w:pPr>
        <w:pStyle w:val="Heading1"/>
        <w:pageBreakBefore/>
      </w:pPr>
      <w:r>
        <w:t>4 Keep the model connected and the result traceable</w:t>
      </w:r>
      <w:bookmarkEnd w:id="4"/>
    </w:p>
    <w:p>
      <w:pPr>
        <w:pStyle w:val="Caption"/>
      </w:pPr>
      <w:hyperlink r:id="rId30">
        <w:r>
          <w:rPr>
            <w:color w:val="176EA4"/>
          </w:rPr>
          <w:t>Online chapter</w:t>
        </w:r>
      </w:hyperlink>
      <w:r>
        <w:t xml:space="preserve"> </w:t>
      </w:r>
    </w:p>
    <w:p>
      <w:pPr/>
      <w:r>
        <w:rPr>
          <w:b w:val="0"/>
          <w:i w:val="0"/>
        </w:rPr>
        <w:t>An operating guide to record connections, live sync, result freshness, source-aware materials, grouped tree operations, process histories and portable studies.</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hyperlink r:id="rId31">
        <w:r>
          <w:rPr>
            <w:color w:val="176EA4"/>
          </w:rPr>
          <w:t>Next: failure, envelopes, carpet plots and optimization →</w:t>
        </w:r>
      </w:hyperlink>
      <w:r>
        <w:t xml:space="preserve"> </w:t>
      </w:r>
    </w:p>
    <w:p>
      <w:r>
        <w:t>Trace the selected input path</w:t>
      </w:r>
    </w:p>
    <w:p>
      <w:r>
        <w:t>Ply property source</w:t>
      </w:r>
    </w:p>
    <w:p>
      <w:r>
        <w:t>Include thermal analysis</w:t>
      </w:r>
    </w:p>
    <w:p>
      <w:r>
        <w:t>Include moisture analysis</w:t>
      </w:r>
    </w:p>
    <w:p>
      <w:r>
        <w:t>Include optional fatigue assessment</w:t>
      </w:r>
    </w:p>
    <w:p>
      <w:pPr/>
      <w:r>
        <w:rPr>
          <w:b w:val="0"/>
          <w:i w:val="0"/>
        </w:rPr>
        <w:t>Stored ply properties bypass Micro. Mixed stacks keep both paths. Gray blocks are not selected. Geometry, process schedules and other model records are omitted here for clarity; a real run must include all required references.</w:t>
      </w:r>
    </w:p>
    <w:p>
      <w:pPr/>
      <w:r>
        <w:rPr>
          <w:b w:val="0"/>
          <w:i w:val="0"/>
        </w:rPr>
        <w:t>Fatigue uses intact CLT endpoint stresses and measured S–N calibration. It is evaluated separately from Run and progressive failure. The dashed handoff is not active: optimization still uses current properties until a degradation law is supplied.</w:t>
      </w:r>
    </w:p>
    <w:p>
      <w:pPr>
        <w:keepNext w:val="0"/>
        <w:jc w:val="center"/>
      </w:pPr>
      <w:r>
        <w:drawing>
          <wp:inline xmlns:a="http://schemas.openxmlformats.org/drawingml/2006/main" xmlns:pic="http://schemas.openxmlformats.org/drawingml/2006/picture">
            <wp:extent cx="6217920" cy="1935767"/>
            <wp:docPr id="20" name="Picture 20" descr="CDS workflow or model illustration"/>
            <wp:cNvGraphicFramePr>
              <a:graphicFrameLocks noChangeAspect="1"/>
            </wp:cNvGraphicFramePr>
            <a:graphic>
              <a:graphicData uri="http://schemas.openxmlformats.org/drawingml/2006/picture">
                <pic:pic>
                  <pic:nvPicPr>
                    <pic:cNvPr id="0" name="rsvg-615023cf647a6b49632caca708c0ff60ff2cc31c35130238cbb49066f80dac56.png"/>
                    <pic:cNvPicPr/>
                  </pic:nvPicPr>
                  <pic:blipFill>
                    <a:blip r:embed="rId13"/>
                    <a:stretch>
                      <a:fillRect/>
                    </a:stretch>
                  </pic:blipFill>
                  <pic:spPr>
                    <a:xfrm>
                      <a:off x="0" y="0"/>
                      <a:ext cx="6217920" cy="1935767"/>
                    </a:xfrm>
                    <a:prstGeom prst="rect"/>
                  </pic:spPr>
                </pic:pic>
              </a:graphicData>
            </a:graphic>
          </wp:inline>
        </w:drawing>
      </w:r>
    </w:p>
    <w:p>
      <w:pPr/>
      <w:r>
        <w:rPr>
          <w:b w:val="0"/>
          <w:i w:val="0"/>
        </w:rPr>
        <w:t>Materials → Micro → Laminate.</w:t>
      </w:r>
    </w:p>
    <w:p>
      <w:pPr/>
      <w:hyperlink r:id="rId14">
        <w:r>
          <w:rPr>
            <w:color w:val="176EA4"/>
          </w:rPr>
          <w:t>All exercises, case studies and simulation examples →</w:t>
        </w:r>
      </w:hyperlink>
      <w:r>
        <w:t xml:space="preserve"> </w:t>
      </w:r>
      <w:r>
        <w:rPr>
          <w:b w:val="0"/>
          <w:i w:val="0"/>
        </w:rPr>
        <w:t xml:space="preserve"> · </w:t>
      </w:r>
      <w:hyperlink r:id="rId12">
        <w:r>
          <w:rPr>
            <w:color w:val="176EA4"/>
          </w:rPr>
          <w:t>Your CDS library: overview, manuals and database downloads →</w:t>
        </w:r>
      </w:hyperlink>
      <w:r>
        <w:t xml:space="preserve"> </w:t>
      </w:r>
    </w:p>
    <w:p>
      <w:pPr>
        <w:pStyle w:val="Heading2"/>
      </w:pPr>
      <w:r>
        <w:t>Inspect the selected model in Live Sim</w:t>
      </w:r>
    </w:p>
    <w:p>
      <w:pPr/>
      <w:r>
        <w:rPr>
          <w:b w:val="0"/>
          <w:i w:val="0"/>
        </w:rPr>
        <w:t>SIMULATE opens with Live Sim, an input-driven view of the selected cases. The four selectors remain available above the scene. Switch to Blocks to manage candidate records and trace their connections.</w:t>
      </w:r>
    </w:p>
    <w:p>
      <w:pPr>
        <w:pStyle w:val="ListBullet"/>
      </w:pPr>
      <w:r>
        <w:rPr>
          <w:b w:val="0"/>
          <w:i w:val="0"/>
        </w:rPr>
        <w:t>Select Geometry, Laminate, a constituent or a case to inspect the inputs that are actually used. Clicking a used block heading also opens its Live Sim inspection.</w:t>
      </w:r>
    </w:p>
    <w:p>
      <w:pPr>
        <w:pStyle w:val="ListBullet"/>
      </w:pPr>
      <w:r>
        <w:rPr>
          <w:b w:val="0"/>
          <w:i w:val="0"/>
        </w:rPr>
        <w:t>Select a ply in the stack or geometry view to inspect its source. Micro-derived and stored-property plies are identified separately. Woven sources show the fabric unit-cell preview when applicable.</w:t>
      </w:r>
    </w:p>
    <w:p>
      <w:pPr>
        <w:pStyle w:val="ListBullet"/>
      </w:pPr>
      <w:r>
        <w:rPr>
          <w:b w:val="0"/>
          <w:i w:val="0"/>
        </w:rPr>
        <w:t>Select the Thermal or Moisture case to inspect its surface boundary schedule. Move the step slider to compare prescribed conditions. This is not a solved internal temperature or moisture field.</w:t>
      </w:r>
    </w:p>
    <w:p>
      <w:pPr>
        <w:pStyle w:val="ListBullet"/>
      </w:pPr>
      <w:r>
        <w:rPr>
          <w:b w:val="0"/>
          <w:i w:val="0"/>
        </w:rPr>
        <w:t>Use Edit input to open the source record. The scene follows the changed inputs; rerun the simulation before trusting previous results.</w:t>
      </w:r>
    </w:p>
    <w:p>
      <w:pPr>
        <w:keepNext/>
      </w:pPr>
      <w:r>
        <w:t>Good practice</w:t>
      </w:r>
    </w:p>
    <w:p>
      <w:pPr/>
      <w:r>
        <w:rPr>
          <w:b w:val="0"/>
          <w:i w:val="0"/>
        </w:rPr>
        <w:t>Geometry, ply bands and arrows are input illustrations, not a finite-element mesh or solved deformation. Display-only thickness enlargement and any model-specific visualization assumptions are identified in the preview.</w:t>
      </w:r>
    </w:p>
    <w:p>
      <w:pPr>
        <w:pStyle w:val="Heading2"/>
      </w:pPr>
      <w:r>
        <w:t>Use the current CASES database format</w:t>
      </w:r>
    </w:p>
    <w:p>
      <w:pPr/>
      <w:r>
        <w:rPr>
          <w:b w:val="0"/>
          <w:i w:val="0"/>
        </w:rPr>
        <w:t>This release reads and saves the current CASES database format only. Thermal and Moisture schedules are stored directly with their cases. There is no separate Process record or old-format migration on opening a file.</w:t>
      </w:r>
    </w:p>
    <w:p>
      <w:pPr>
        <w:pStyle w:val="ListBullet"/>
      </w:pPr>
      <w:r>
        <w:rPr>
          <w:b w:val="0"/>
          <w:i w:val="0"/>
        </w:rPr>
        <w:t>Download a current starter or exercise database from the library. Older-format files are rejected with a clear message rather than converted silently.</w:t>
      </w:r>
    </w:p>
    <w:p>
      <w:pPr>
        <w:pStyle w:val="ListBullet"/>
      </w:pPr>
      <w:r>
        <w:rPr>
          <w:b w:val="0"/>
          <w:i w:val="0"/>
        </w:rPr>
        <w:t>Save and reopen the current database to retain case selections, schedules, candidate records and editable names.</w:t>
      </w:r>
    </w:p>
    <w:p>
      <w:pPr>
        <w:pStyle w:val="ListBullet"/>
      </w:pPr>
      <w:r>
        <w:rPr>
          <w:b w:val="0"/>
          <w:i w:val="0"/>
        </w:rPr>
        <w:t>Missing folders, duplicate identifiers and cycles attached to absent cases prevent saving or opening. Blank physical inputs remain editable and must be completed before Run.</w:t>
      </w:r>
    </w:p>
    <w:p>
      <w:pPr>
        <w:keepNext/>
      </w:pPr>
      <w:r>
        <w:t>Good practice</w:t>
      </w:r>
    </w:p>
    <w:p>
      <w:pPr/>
      <w:r>
        <w:rPr>
          <w:b w:val="0"/>
          <w:i w:val="0"/>
        </w:rPr>
        <w:t>This change concerns Workbench database files only. It does not erase account, licensing or payment history.</w:t>
      </w:r>
    </w:p>
    <w:p>
      <w:pPr>
        <w:pStyle w:val="Heading2"/>
      </w:pPr>
      <w:r>
        <w:t>Choose the run in the SIMULATION block</w:t>
      </w:r>
    </w:p>
    <w:p>
      <w:pPr/>
      <w:r>
        <w:rPr>
          <w:b w:val="0"/>
          <w:i w:val="0"/>
        </w:rPr>
        <w:t>SIMULATION is the control point for the run. Select a Thermal case, Moisture case, Mechanical case and EM case, or None in any slot. Each selected case shows its analysis model, laminate and applicable geometry.</w:t>
      </w:r>
    </w:p>
    <w:p>
      <w:pPr>
        <w:pStyle w:val="ListBullet"/>
      </w:pPr>
      <w:r>
        <w:rPr>
          <w:b w:val="0"/>
          <w:i w:val="0"/>
        </w:rPr>
        <w:t>Keep candidate records in the surrounding blocks. Adding a candidate does not select it for execution.</w:t>
      </w:r>
    </w:p>
    <w:p>
      <w:pPr>
        <w:pStyle w:val="ListBullet"/>
      </w:pPr>
      <w:r>
        <w:rPr>
          <w:b w:val="0"/>
          <w:i w:val="0"/>
        </w:rPr>
        <w:t>Select the required cases in SIMULATION and review their inputs before Run. At least one case is required.</w:t>
      </w:r>
    </w:p>
    <w:p>
      <w:pPr>
        <w:pStyle w:val="ListBullet"/>
      </w:pPr>
      <w:r>
        <w:rPr>
          <w:b w:val="0"/>
          <w:i w:val="0"/>
        </w:rPr>
        <w:t>Use the same laminate for a supported combined run. Run standalone studies separately with the other selectors set to None.</w:t>
      </w:r>
    </w:p>
    <w:p>
      <w:pPr>
        <w:pStyle w:val="ListBullet"/>
      </w:pPr>
      <w:r>
        <w:rPr>
          <w:b w:val="0"/>
          <w:i w:val="0"/>
        </w:rPr>
        <w:t>Run executes the selected combination. A connection or Used marker is not evidence of a successful solve.</w:t>
      </w:r>
    </w:p>
    <w:p>
      <w:pPr>
        <w:keepNext/>
      </w:pPr>
      <w:r>
        <w:t>Good practice</w:t>
      </w:r>
    </w:p>
    <w:p>
      <w:pPr/>
      <w:r>
        <w:rPr>
          <w:b w:val="0"/>
          <w:i w:val="0"/>
        </w:rPr>
        <w:t>Selecting several cases does not add unsupported physics coupling. EM screening studies do not automatically heat the thermal case.</w:t>
      </w:r>
    </w:p>
    <w:p>
      <w:pPr>
        <w:pStyle w:val="Heading2"/>
      </w:pPr>
      <w:r>
        <w:t>Review every downstream geometry dependency</w:t>
      </w:r>
    </w:p>
    <w:p>
      <w:pPr/>
      <w:r>
        <w:rPr>
          <w:b w:val="0"/>
          <w:i w:val="0"/>
        </w:rPr>
        <w:t>A geometry record can be shared by several cases and simulations. Editing its dimensions or type affects all linked consumers, including studies that are not currently open. Unrelated records are unchanged.</w:t>
      </w:r>
    </w:p>
    <w:p>
      <w:pPr>
        <w:pStyle w:val="ListBullet"/>
      </w:pPr>
      <w:r>
        <w:rPr>
          <w:b w:val="0"/>
          <w:i w:val="0"/>
        </w:rPr>
        <w:t>After editing geometry, open Solver messages and expand Review affected cases and simulations. Select a linked name to inspect that record.</w:t>
      </w:r>
    </w:p>
    <w:p>
      <w:pPr>
        <w:pStyle w:val="ListBullet"/>
      </w:pPr>
      <w:r>
        <w:rPr>
          <w:b w:val="0"/>
          <w:i w:val="0"/>
        </w:rPr>
        <w:t>Check the selected model, load basis, dimensions and boundary conditions. Loads are not automatically replaced when the geometry changes.</w:t>
      </w:r>
    </w:p>
    <w:p>
      <w:pPr>
        <w:pStyle w:val="ListBullet"/>
      </w:pPr>
      <w:r>
        <w:rPr>
          <w:b w:val="0"/>
          <w:i w:val="0"/>
        </w:rPr>
        <w:t>Resolve incompatible geometry and model combinations before running. An I-section does not turn a plate theory into a beam theory.</w:t>
      </w:r>
    </w:p>
    <w:p>
      <w:pPr>
        <w:pStyle w:val="ListBullet"/>
      </w:pPr>
      <w:r>
        <w:rPr>
          <w:b w:val="0"/>
          <w:i w:val="0"/>
        </w:rPr>
        <w:t>Rerun affected simulations before relying on previous results. Inputs changed warnings indicate that stored results no longer match their connected inputs.</w:t>
      </w:r>
    </w:p>
    <w:p>
      <w:pPr>
        <w:keepNext/>
      </w:pPr>
      <w:r>
        <w:t>Good practice</w:t>
      </w:r>
    </w:p>
    <w:p>
      <w:pPr/>
      <w:r>
        <w:rPr>
          <w:b w:val="0"/>
          <w:i w:val="0"/>
        </w:rPr>
        <w:t>Geometry affects only dimensions consumed by the selected model. One-dimensional transport retains its through-thickness assumptions; standalone studies may own their dimensions. Under fixed total edge loads, changing plate width changes force per unit width. Under prescribed resultants, it does not.</w:t>
      </w:r>
    </w:p>
    <w:p>
      <w:pPr>
        <w:pStyle w:val="Heading2"/>
      </w:pPr>
      <w:r>
        <w:t>Build the simulation from interactive blocks</w:t>
      </w:r>
    </w:p>
    <w:p>
      <w:pPr/>
      <w:r>
        <w:rPr>
          <w:b w:val="0"/>
          <w:i w:val="0"/>
        </w:rPr>
        <w:t>Choose Block view above the left navigator for a vertical, editable workflow, or Blocks inside SIMULATE for the larger connection view. Live Sim inspects the selected model. Record dropdowns remain visible in Lite view.</w:t>
      </w:r>
    </w:p>
    <w:p>
      <w:pPr>
        <w:pStyle w:val="ListBullet"/>
      </w:pPr>
      <w:r>
        <w:rPr>
          <w:b w:val="0"/>
          <w:i w:val="0"/>
        </w:rPr>
        <w:t>Choose the active simulation, then select compatible materials, Micro recipes, laminates, geometry and cases inside its blocks. Hybrid laminates can retain both stored-material and solved-Micro ply sources.</w:t>
      </w:r>
    </w:p>
    <w:p>
      <w:pPr>
        <w:pStyle w:val="ListBullet"/>
      </w:pPr>
      <w:r>
        <w:rPr>
          <w:b w:val="0"/>
          <w:i w:val="0"/>
        </w:rPr>
        <w:t>Use the local Blocks Lite–Advanced switch for extra details without changing the rest of the workspace. Existing search and current-simulation filters still apply.</w:t>
      </w:r>
    </w:p>
    <w:p>
      <w:pPr>
        <w:pStyle w:val="ListBullet"/>
      </w:pPr>
      <w:r>
        <w:rPr>
          <w:b w:val="0"/>
          <w:i w:val="0"/>
        </w:rPr>
        <w:t>Use the side connections to trace the input path. Hide connections or pause their animation locally; reduced-motion preferences are respected. Animation indicates connection direction, not solver progress.</w:t>
      </w:r>
    </w:p>
    <w:p>
      <w:pPr>
        <w:keepNext/>
      </w:pPr>
      <w:r>
        <w:t>Good practice</w:t>
      </w:r>
    </w:p>
    <w:p>
      <w:pPr/>
      <w:r>
        <w:rPr>
          <w:b w:val="0"/>
          <w:i w:val="0"/>
        </w:rPr>
        <w:t>The current-simulation filter includes used dependencies and added candidate records, even when those candidates are not selected for the run. Show all to browse other allowed library records.</w:t>
      </w:r>
    </w:p>
    <w:p>
      <w:pPr>
        <w:pStyle w:val="Heading2"/>
      </w:pPr>
      <w:r>
        <w:t>Read the blue Used marker</w:t>
      </w:r>
    </w:p>
    <w:p>
      <w:pPr/>
      <w:r>
        <w:rPr>
          <w:b w:val="0"/>
          <w:i w:val="0"/>
        </w:rPr>
        <w:t>Connected, available record selections have a soft blue glow and a Used marker in the corner. Hover or focus the marker to see which downstream record and field uses that input.</w:t>
      </w:r>
    </w:p>
    <w:p>
      <w:pPr>
        <w:pStyle w:val="ListBullet"/>
      </w:pPr>
      <w:r>
        <w:rPr>
          <w:b w:val="0"/>
          <w:i w:val="0"/>
        </w:rPr>
        <w:t>Check the marker before editing a shared input: more than one case can consume it.</w:t>
      </w:r>
    </w:p>
    <w:p>
      <w:pPr>
        <w:pStyle w:val="ListBullet"/>
      </w:pPr>
      <w:r>
        <w:rPr>
          <w:b w:val="0"/>
          <w:i w:val="0"/>
        </w:rPr>
        <w:t>A Used marker means connected, not solved or validated. Review solver status and outdated-result warnings separately.</w:t>
      </w:r>
    </w:p>
    <w:p>
      <w:pPr>
        <w:pStyle w:val="ListBullet"/>
      </w:pPr>
      <w:r>
        <w:rPr>
          <w:b w:val="0"/>
          <w:i w:val="0"/>
        </w:rPr>
        <w:t>Missing or incompatible selections need repair; do not interpret an empty result as zero response.</w:t>
      </w:r>
    </w:p>
    <w:p>
      <w:pPr>
        <w:pStyle w:val="Heading2"/>
      </w:pPr>
      <w:r>
        <w:t>Add replace or disconnect a block input</w:t>
      </w:r>
    </w:p>
    <w:p>
      <w:pPr/>
      <w:r>
        <w:rPr>
          <w:b w:val="0"/>
          <w:i w:val="0"/>
        </w:rPr>
        <w:t>The + control adds another available record to a block, excluding records already present. Use that record row dropdown to change the candidate, its link to open it, and − to remove it from the block. Library records are not deleted.</w:t>
      </w:r>
    </w:p>
    <w:p>
      <w:pPr>
        <w:pStyle w:val="ListBullet"/>
      </w:pPr>
      <w:r>
        <w:rPr>
          <w:b w:val="0"/>
          <w:i w:val="0"/>
        </w:rPr>
        <w:t>Choose + and search for a compatible candidate not already in the block. Decide what actually runs with the four selectors in SIMULATION.</w:t>
      </w:r>
    </w:p>
    <w:p>
      <w:pPr>
        <w:pStyle w:val="ListBullet"/>
      </w:pPr>
      <w:r>
        <w:rPr>
          <w:b w:val="0"/>
          <w:i w:val="0"/>
        </w:rPr>
        <w:t>If no compatible record exists, create one in Inputs. Each case owns its analysis model and applicable cycle. There is no separate Process block to connect.</w:t>
      </w:r>
    </w:p>
    <w:p>
      <w:pPr>
        <w:pStyle w:val="ListBullet"/>
      </w:pPr>
      <w:r>
        <w:rPr>
          <w:b w:val="0"/>
          <w:i w:val="0"/>
        </w:rPr>
        <w:t>A used input must first be disconnected or changed at its consuming field. Review downstream warnings before confirming a removal; cancel to keep it.</w:t>
      </w:r>
    </w:p>
    <w:p>
      <w:pPr>
        <w:pStyle w:val="ListBullet"/>
      </w:pPr>
      <w:r>
        <w:rPr>
          <w:b w:val="0"/>
          <w:i w:val="0"/>
        </w:rPr>
        <w:t>After removal, required missing inputs remain flagged and their selectors allow reconnection. Optional cases may stay disconnected. Rerun affected analyses before relying on their results.</w:t>
      </w:r>
    </w:p>
    <w:p>
      <w:pPr>
        <w:keepNext/>
      </w:pPr>
      <w:r>
        <w:t>Good practice</w:t>
      </w:r>
    </w:p>
    <w:p>
      <w:pPr/>
      <w:r>
        <w:rPr>
          <w:b w:val="0"/>
          <w:i w:val="0"/>
        </w:rPr>
        <w:t>Disconnecting a shared laminate input may affect several cases. Removing a ply-source connection preserves the other ply sources, angles and thicknesses; it does not delete the ply stack.</w:t>
      </w:r>
    </w:p>
    <w:p>
      <w:pPr>
        <w:pStyle w:val="Heading2"/>
      </w:pPr>
      <w:r>
        <w:t>Keep starter laminates in one classification</w:t>
      </w:r>
    </w:p>
    <w:p>
      <w:pPr/>
      <w:r>
        <w:rPr>
          <w:b w:val="0"/>
          <w:i w:val="0"/>
        </w:rPr>
        <w:t>Generated Standard starter Conventional Laminates folders are consolidated into the main Conventional Laminates folder. Distinct laminate record IDs and their simulation links are preserved; identical titles alone are not a reason to delete a record.</w:t>
      </w:r>
    </w:p>
    <w:p>
      <w:pPr>
        <w:keepNext/>
      </w:pPr>
      <w:r>
        <w:t>Good practice</w:t>
      </w:r>
    </w:p>
    <w:p>
      <w:pPr/>
      <w:r>
        <w:rPr>
          <w:b w:val="0"/>
          <w:i w:val="0"/>
        </w:rPr>
        <w:t>Custom folders and exercise collections remain separate. Save the workspace to retain its cleaned organization in your local database.</w:t>
      </w:r>
    </w:p>
    <w:p>
      <w:pPr>
        <w:pStyle w:val="Heading2"/>
      </w:pPr>
      <w:r>
        <w:t>CASES organizes the conditions you apply</w:t>
      </w:r>
    </w:p>
    <w:p>
      <w:pPr/>
      <w:r>
        <w:rPr>
          <w:b w:val="0"/>
          <w:i w:val="0"/>
        </w:rPr>
        <w:t>CASES is the Workbench section formerly called LOAD or Loading. Its four types are Thermal, Moisture, Mechanical and Electromagnetic. A case defines the model, conditions and linked inputs for one study; SIMULATE connects the cases into the supported workflow.</w:t>
      </w:r>
    </w:p>
    <w:p>
      <w:pPr>
        <w:pStyle w:val="ListBullet"/>
      </w:pPr>
      <w:r>
        <w:rPr>
          <w:b w:val="0"/>
          <w:i w:val="0"/>
        </w:rPr>
        <w:t>Choose the appropriate case type. Thermal and moisture cases use their compatible transport properties and boundary schedules; structural cases define forces, pressure, restraints or prescribed motion; EM cases define field, frequency and supported wave-study inputs.</w:t>
      </w:r>
    </w:p>
    <w:p>
      <w:pPr>
        <w:pStyle w:val="ListBullet"/>
      </w:pPr>
      <w:r>
        <w:rPr>
          <w:b w:val="0"/>
          <w:i w:val="0"/>
        </w:rPr>
        <w:t>Each case selects one analysis model and owns its applicable cycle. Configure thermal initial conditions and upper/lower surface schedules in that case; moisture and mechanical schedules remain separate. Select cases in SIMULATION, not a separate Process block.</w:t>
      </w:r>
    </w:p>
    <w:p>
      <w:pPr>
        <w:pStyle w:val="ListBullet"/>
      </w:pPr>
      <w:r>
        <w:rPr>
          <w:b w:val="0"/>
          <w:i w:val="0"/>
        </w:rPr>
        <w:t>Use an existing case or create one, check its laminate, geometry and model, then apply it to the current simulation. Review missing-input messages before running.</w:t>
      </w:r>
    </w:p>
    <w:p>
      <w:pPr>
        <w:keepNext/>
      </w:pPr>
      <w:r>
        <w:t>Good practice</w:t>
      </w:r>
    </w:p>
    <w:p>
      <w:pPr/>
      <w:r>
        <w:rPr>
          <w:b w:val="0"/>
          <w:i w:val="0"/>
        </w:rPr>
        <w:t>Load still means a physical force or applied condition in equations and results. Earlier screenshots may show LOAD or Loading: use CASES in the current interface. Renaming the navigation does not add model coupling or change a saved calculation.</w:t>
      </w:r>
    </w:p>
    <w:p>
      <w:pPr>
        <w:pStyle w:val="Heading2"/>
      </w:pPr>
      <w:r>
        <w:t>Test section stiffness during cure</w:t>
      </w:r>
    </w:p>
    <w:p>
      <w:pPr/>
      <w:r>
        <w:rPr>
          <w:b w:val="0"/>
          <w:i w:val="0"/>
        </w:rPr>
        <w:t>The x–z section can use the linked matrix’s CHILE cure-dependent modulus, with the Micro recipe recomputing longitudinal, transverse and shear stiffnesses through the thickness.</w:t>
      </w:r>
    </w:p>
    <w:p>
      <w:pPr>
        <w:pStyle w:val="ListBullet"/>
      </w:pPr>
      <w:r>
        <w:rPr>
          <w:b w:val="0"/>
          <w:i w:val="0"/>
        </w:rPr>
        <w:t>Link cure kinetics and a cure-modulus model to the matrix used by the Micro recipe. All section plies must use that same recipe and equal ply thicknesses for the current cure integration.</w:t>
      </w:r>
    </w:p>
    <w:p>
      <w:pPr>
        <w:pStyle w:val="ListBullet"/>
      </w:pPr>
      <w:r>
        <w:rPr>
          <w:b w:val="0"/>
          <w:i w:val="0"/>
        </w:rPr>
        <w:t>Include a transient thermal/cure analysis in the simulation and select that Thermal case in the x-z section. Select Cure history under Section stiffness state. Exactly one matching transient thermal/cure history is required.</w:t>
      </w:r>
    </w:p>
    <w:p>
      <w:pPr>
        <w:pStyle w:val="ListBullet"/>
      </w:pPr>
      <w:r>
        <w:rPr>
          <w:b w:val="0"/>
          <w:i w:val="0"/>
        </w:rPr>
        <w:t>Enter Section cure time in minutes, or -1 for the final process time. Run again: the section consumes cure data generated in that same run, not an older saved result.</w:t>
      </w:r>
    </w:p>
    <w:p>
      <w:pPr>
        <w:pStyle w:val="ListBullet"/>
      </w:pPr>
      <w:r>
        <w:rPr>
          <w:b w:val="0"/>
          <w:i w:val="0"/>
        </w:rPr>
        <w:t>Read the reported time and cure range with the stress, displacement and apparent z-modulus results. Compare several cure times. Refine both the thermal mesh and section nodes per ply to resolve gradients.</w:t>
      </w:r>
    </w:p>
    <w:p>
      <w:pPr>
        <w:keepNext/>
      </w:pPr>
      <w:r>
        <w:t>Good practice</w:t>
      </w:r>
    </w:p>
    <w:p>
      <w:pPr/>
      <w:r>
        <w:rPr>
          <w:b w:val="0"/>
          <w:i w:val="0"/>
        </w:rPr>
        <w:t>This applies stiffness at a selected cure state under the entered mechanical tractions. It does not transfer accumulated thermal or cure-shrinkage residual stress into the section, predict cure-dependent strength, or model uncured resin flow. Reference mode retains the original elastic calculation; leave its optional Thermal case blank.</w:t>
      </w:r>
    </w:p>
    <w:p>
      <w:pPr>
        <w:pStyle w:val="Heading2"/>
      </w:pPr>
      <w:r>
        <w:t>Through-thickness testing with an x z section</w:t>
      </w:r>
    </w:p>
    <w:p>
      <w:pPr/>
      <w:r>
        <w:rPr>
          <w:b w:val="0"/>
          <w:i w:val="0"/>
        </w:rPr>
        <w:t>The layerwise x–z section model resolves through-thickness displacement, normal stress and shear using the linked laminate and a finite rectangular Plate. It is separate from the existing plane-stress laminate solver. The omitted y direction has zero normal strain; z remains free to deform.</w:t>
      </w:r>
    </w:p>
    <w:p>
      <w:pPr>
        <w:pStyle w:val="ListBullet"/>
      </w:pPr>
      <w:r>
        <w:rPr>
          <w:b w:val="0"/>
          <w:i w:val="0"/>
        </w:rPr>
        <w:t>Create a structural case and choose x-z section. Link a finite Plate and the laminate. Plate Length sets the x extent; the laminate supplies ply thickness, angle and material references.</w:t>
      </w:r>
    </w:p>
    <w:p>
      <w:pPr>
        <w:pStyle w:val="ListBullet"/>
      </w:pPr>
      <w:r>
        <w:rPr>
          <w:b w:val="0"/>
          <w:i w:val="0"/>
        </w:rPr>
        <w:t>Verify complete 3D elastic properties on each material, or the linked Micro recipe’s homogenized outputs. A missing E3 or transverse shear modulus is not supplied by selecting the model.</w:t>
      </w:r>
    </w:p>
    <w:p>
      <w:pPr>
        <w:pStyle w:val="ListBullet"/>
      </w:pPr>
      <w:r>
        <w:rPr>
          <w:b w:val="0"/>
          <w:i w:val="0"/>
        </w:rPr>
        <w:t>Enter Section traction Z in MPa: positive for tension, negative for compression. Section traction X acts on the right face; Section traction XZ applies x-directed shear on the top face. These are face tractions, not total forces.</w:t>
      </w:r>
    </w:p>
    <w:p>
      <w:pPr>
        <w:pStyle w:val="ListBullet"/>
      </w:pPr>
      <w:r>
        <w:rPr>
          <w:b w:val="0"/>
          <w:i w:val="0"/>
        </w:rPr>
        <w:t>Set Section length elements and Section nodes per ply. The mesh shares interface displacements. Run the linked simulation and open structural Response to view the dedicated section map and scrollable table.</w:t>
      </w:r>
    </w:p>
    <w:p>
      <w:pPr>
        <w:pStyle w:val="ListBullet"/>
      </w:pPr>
      <w:r>
        <w:rPr>
          <w:b w:val="0"/>
          <w:i w:val="0"/>
        </w:rPr>
        <w:t>Compare σz, τxz, displacement and strain. Refine both mesh directions and review the equation residual and force imbalance before interpreting local peaks.</w:t>
      </w:r>
    </w:p>
    <w:p>
      <w:pPr>
        <w:keepNext/>
      </w:pPr>
      <w:r>
        <w:t>Good practice</w:t>
      </w:r>
    </w:p>
    <w:p>
      <w:pPr/>
      <w:r>
        <w:rPr>
          <w:b w:val="0"/>
          <w:i w:val="0"/>
        </w:rPr>
        <w:t>Snapshot linear elasticity at the selected reference or cure state, with perfect bonding. Left-edge ux and bottom-edge uz are restrained; uy is pinned at the origin but otherwise allowed to warp. Apparent z test modulus includes these supports and the y restraint: it is not free-lateral E3. Tension/compression stiffness is identical at a given cure state; strengths, delamination, cure/thermal preload and damage are not predicted. Element-centre stresses are unsmoothed; corner/interface peaks may be mesh dependent.</w:t>
      </w:r>
    </w:p>
    <w:p>
      <w:pPr>
        <w:pStyle w:val="Heading2"/>
      </w:pPr>
      <w:r>
        <w:t>Geometry-driven virtual testing</w:t>
      </w:r>
    </w:p>
    <w:p>
      <w:pPr/>
      <w:r>
        <w:rPr>
          <w:b w:val="0"/>
          <w:i w:val="0"/>
        </w:rPr>
        <w:t>Choose a Load basis in the structural case inputs. Infinite plate is the default geometry for new membrane studies and uses force per unit width. A finite Plate can instead use total edge forces and moments. Existing saved resultants retain their original units until you explicitly choose a different load basis.</w:t>
      </w:r>
    </w:p>
    <w:p>
      <w:pPr>
        <w:pStyle w:val="ListBullet"/>
      </w:pPr>
      <w:r>
        <w:rPr>
          <w:b w:val="0"/>
          <w:i w:val="0"/>
        </w:rPr>
        <w:t>For Infinite plate, enter Nx, Ny and Nxy in force per unit width and Mx, My and Mxy in moment per unit width. Changing a schematic width does not change these resultants.</w:t>
      </w:r>
    </w:p>
    <w:p>
      <w:pPr>
        <w:pStyle w:val="ListBullet"/>
      </w:pPr>
      <w:r>
        <w:rPr>
          <w:b w:val="0"/>
          <w:i w:val="0"/>
        </w:rPr>
        <w:t>For a finite Plate, choose Total edge loads. Force X is divided by Width, Force Y by Length, and Shear force by Width to obtain uniform laminate resultants. Bending moments use the corresponding edge length. Changing geometry therefore changes the stress and strain under a fixed total load.</w:t>
      </w:r>
    </w:p>
    <w:p>
      <w:pPr>
        <w:pStyle w:val="ListBullet"/>
      </w:pPr>
      <w:r>
        <w:rPr>
          <w:b w:val="0"/>
          <w:i w:val="0"/>
        </w:rPr>
        <w:t>For a beam, choose Beam test and link a rectangular, I-section, circular section, or plate-strip geometry. Select simple supports or a cantilever, then central/tip point loading or a uniform distributed load. The support span must fit within the member length.</w:t>
      </w:r>
    </w:p>
    <w:p>
      <w:pPr>
        <w:pStyle w:val="ListBullet"/>
      </w:pPr>
      <w:r>
        <w:rPr>
          <w:b w:val="0"/>
          <w:i w:val="0"/>
        </w:rPr>
        <w:t>Review section area and inertia, critical moment and shear, support reaction, top/bottom axial stress and strain, and maximum deflection. Beam stiffness uses effective axial Ex and the linked section inertia.</w:t>
      </w:r>
    </w:p>
    <w:p>
      <w:pPr>
        <w:pStyle w:val="ListBullet"/>
      </w:pPr>
      <w:r>
        <w:rPr>
          <w:b w:val="0"/>
          <w:i w:val="0"/>
        </w:rPr>
        <w:t>Keep the load case, geometry, laminate and material records together when saving the simulation.</w:t>
      </w:r>
    </w:p>
    <w:p>
      <w:pPr>
        <w:keepNext/>
      </w:pPr>
      <w:r>
        <w:t>Good practice</w:t>
      </w:r>
    </w:p>
    <w:p>
      <w:pPr/>
      <w:r>
        <w:rPr>
          <w:b w:val="0"/>
          <w:i w:val="0"/>
        </w:rPr>
        <w:t>Plate results assume uniform edge traction and do not resolve grip effects or hole stress concentrations. Beam results use small-deflection Euler–Bernoulli theory with an equivalent uniform axial modulus; they exclude shear deflection, local buckling, joints and ply-level beam failure.</w:t>
      </w:r>
    </w:p>
    <w:p>
      <w:pPr>
        <w:pStyle w:val="Heading2"/>
      </w:pPr>
      <w:r>
        <w:t>A dependency chain not a set of isolated forms</w:t>
      </w:r>
    </w:p>
    <w:p>
      <w:pPr/>
      <w:r>
        <w:rPr>
          <w:b w:val="0"/>
          <w:i w:val="0"/>
        </w:rPr>
        <w:t>A simulation selects its Thermal, Moisture, Mechanical and EM cases. Each case references the inputs consumed by its model and owns its applicable cycle. A laminate contains ordered plies, each referencing a material or solved lamina. A micromechanics record links constituent materials and an architecture-compatible homogenization model. Reusing a record means reusing the same underlying data; duplicating it creates a separate record.</w:t>
      </w:r>
    </w:p>
    <w:p>
      <w:pPr>
        <w:pStyle w:val="ListBullet"/>
      </w:pPr>
      <w:r>
        <w:rPr>
          <w:b w:val="0"/>
          <w:i w:val="0"/>
        </w:rPr>
        <w:t>Begin with material units, density, elastic constants and strength allowables. Starter values are representative—not certified design allowables.</w:t>
      </w:r>
      <w:r>
        <w:rPr>
          <w:b w:val="0"/>
          <w:i w:val="0"/>
        </w:rPr>
        <w:t xml:space="preserve"> </w:t>
      </w:r>
      <w:r>
        <w:rPr>
          <w:b w:val="0"/>
          <w:i w:val="0"/>
        </w:rPr>
        <w:t xml:space="preserve"> </w:t>
      </w:r>
      <w:hyperlink r:id="rId32">
        <w:r>
          <w:rPr>
            <w:color w:val="176EA4"/>
          </w:rPr>
          <w:t>See screenshot</w:t>
        </w:r>
      </w:hyperlink>
      <w:r>
        <w:t xml:space="preserve"> </w:t>
      </w:r>
    </w:p>
    <w:p>
      <w:pPr>
        <w:pStyle w:val="ListBullet"/>
      </w:pPr>
      <w:r>
        <w:rPr>
          <w:b w:val="0"/>
          <w:i w:val="0"/>
        </w:rPr>
        <w:t>Choose the microstructure and compatible model, then constituents, volume fractions and geometric inputs. Check the live cross-section and effective properties.</w:t>
      </w:r>
      <w:r>
        <w:rPr>
          <w:b w:val="0"/>
          <w:i w:val="0"/>
        </w:rPr>
        <w:t xml:space="preserve"> </w:t>
      </w:r>
      <w:r>
        <w:rPr>
          <w:b w:val="0"/>
          <w:i w:val="0"/>
        </w:rPr>
        <w:t xml:space="preserve"> </w:t>
      </w:r>
      <w:hyperlink r:id="rId33">
        <w:r>
          <w:rPr>
            <w:color w:val="176EA4"/>
          </w:rPr>
          <w:t>See screenshot</w:t>
        </w:r>
      </w:hyperlink>
      <w:r>
        <w:t xml:space="preserve"> </w:t>
      </w:r>
    </w:p>
    <w:p>
      <w:pPr>
        <w:pStyle w:val="ListBullet"/>
      </w:pPr>
      <w:r>
        <w:rPr>
          <w:b w:val="0"/>
          <w:i w:val="0"/>
        </w:rPr>
        <w:t>Build the laminate: verify source, angle, thickness, ordering, symmetry, balance and visible plies.</w:t>
      </w:r>
      <w:r>
        <w:rPr>
          <w:b w:val="0"/>
          <w:i w:val="0"/>
        </w:rPr>
        <w:t xml:space="preserve"> </w:t>
      </w:r>
      <w:r>
        <w:rPr>
          <w:b w:val="0"/>
          <w:i w:val="0"/>
        </w:rPr>
        <w:t xml:space="preserve"> </w:t>
      </w:r>
      <w:hyperlink r:id="rId34">
        <w:r>
          <w:rPr>
            <w:color w:val="176EA4"/>
          </w:rPr>
          <w:t>See screenshot</w:t>
        </w:r>
      </w:hyperlink>
      <w:r>
        <w:t xml:space="preserve"> </w:t>
      </w:r>
    </w:p>
    <w:p>
      <w:pPr>
        <w:pStyle w:val="ListBullet"/>
      </w:pPr>
      <w:r>
        <w:rPr>
          <w:b w:val="0"/>
          <w:i w:val="0"/>
        </w:rPr>
        <w:t>Link the applicable geometry and laminate inside each case. Choose the case combination in SIMULATION and review Summary before Run.</w:t>
      </w:r>
      <w:r>
        <w:rPr>
          <w:b w:val="0"/>
          <w:i w:val="0"/>
        </w:rPr>
        <w:t xml:space="preserve"> </w:t>
      </w:r>
      <w:r>
        <w:rPr>
          <w:b w:val="0"/>
          <w:i w:val="0"/>
        </w:rPr>
        <w:t xml:space="preserve"> </w:t>
      </w:r>
      <w:hyperlink r:id="rId35">
        <w:r>
          <w:rPr>
            <w:color w:val="176EA4"/>
          </w:rPr>
          <w:t>See screenshot</w:t>
        </w:r>
      </w:hyperlink>
      <w:r>
        <w:t xml:space="preserve"> </w:t>
      </w:r>
    </w:p>
    <w:p>
      <w:pPr>
        <w:pStyle w:val="ListBullet"/>
      </w:pPr>
      <w:r>
        <w:rPr>
          <w:b w:val="0"/>
          <w:i w:val="0"/>
        </w:rPr>
        <w:t>Save a dependency-complete CDS_DB checkpoint so references travel with the study.</w:t>
      </w:r>
    </w:p>
    <w:p>
      <w:pPr>
        <w:keepNext w:val="0"/>
        <w:jc w:val="center"/>
      </w:pPr>
      <w:r>
        <w:drawing>
          <wp:inline xmlns:a="http://schemas.openxmlformats.org/drawingml/2006/main" xmlns:pic="http://schemas.openxmlformats.org/drawingml/2006/picture">
            <wp:extent cx="6217920" cy="4304354"/>
            <wp:docPr id="21" name="Picture 21" descr="Begin with sourced constituent properties."/>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15"/>
                    <a:stretch>
                      <a:fillRect/>
                    </a:stretch>
                  </pic:blipFill>
                  <pic:spPr>
                    <a:xfrm>
                      <a:off x="0" y="0"/>
                      <a:ext cx="6217920" cy="4304354"/>
                    </a:xfrm>
                    <a:prstGeom prst="rect"/>
                  </pic:spPr>
                </pic:pic>
              </a:graphicData>
            </a:graphic>
          </wp:inline>
        </w:drawing>
      </w:r>
    </w:p>
    <w:p>
      <w:pPr>
        <w:pStyle w:val="Caption"/>
      </w:pPr>
      <w:r>
        <w:rPr>
          <w:b/>
          <w:i w:val="0"/>
        </w:rPr>
        <w:t xml:space="preserve">Steps </w:t>
      </w:r>
      <w:r>
        <w:rPr>
          <w:b/>
          <w:i w:val="0"/>
        </w:rPr>
        <w:t xml:space="preserve"> </w:t>
      </w:r>
      <w:r>
        <w:rPr>
          <w:b/>
          <w:i w:val="0"/>
        </w:rPr>
        <w:t>1</w:t>
      </w:r>
      <w:r>
        <w:rPr>
          <w:b/>
          <w:i w:val="0"/>
        </w:rPr>
        <w:t xml:space="preserve"> </w:t>
      </w:r>
      <w:r>
        <w:rPr>
          <w:b/>
          <w:i w:val="0"/>
        </w:rPr>
        <w:t xml:space="preserve"> · </w:t>
      </w:r>
      <w:r>
        <w:rPr>
          <w:b w:val="0"/>
          <w:i w:val="0"/>
        </w:rPr>
        <w:t>Begin with sourced constituent properties.</w:t>
      </w:r>
      <w:r>
        <w:rPr>
          <w:b w:val="0"/>
          <w:i w:val="0"/>
        </w:rPr>
        <w:t xml:space="preserve"> </w:t>
      </w:r>
      <w:r>
        <w:rPr>
          <w:b w:val="0"/>
          <w:i w:val="0"/>
        </w:rPr>
        <w:t xml:space="preserve"> </w:t>
      </w:r>
      <w:hyperlink r:id="rId1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keepNext w:val="0"/>
        <w:jc w:val="center"/>
      </w:pPr>
      <w:r>
        <w:drawing>
          <wp:inline xmlns:a="http://schemas.openxmlformats.org/drawingml/2006/main" xmlns:pic="http://schemas.openxmlformats.org/drawingml/2006/picture">
            <wp:extent cx="6217920" cy="4897347"/>
            <wp:docPr id="22" name="Picture 22" descr="Select the micromechanics architecture and model."/>
            <wp:cNvGraphicFramePr>
              <a:graphicFrameLocks noChangeAspect="1"/>
            </wp:cNvGraphicFramePr>
            <a:graphic>
              <a:graphicData uri="http://schemas.openxmlformats.org/drawingml/2006/picture">
                <pic:pic>
                  <pic:nvPicPr>
                    <pic:cNvPr id="0" name="56a1bd74d21d0691e23c163a8ea3b1f5fef6777ca1f240ad2de3993c21d1cf84.png"/>
                    <pic:cNvPicPr/>
                  </pic:nvPicPr>
                  <pic:blipFill>
                    <a:blip r:embed="rId36"/>
                    <a:stretch>
                      <a:fillRect/>
                    </a:stretch>
                  </pic:blipFill>
                  <pic:spPr>
                    <a:xfrm>
                      <a:off x="0" y="0"/>
                      <a:ext cx="6217920" cy="4897347"/>
                    </a:xfrm>
                    <a:prstGeom prst="rect"/>
                  </pic:spPr>
                </pic:pic>
              </a:graphicData>
            </a:graphic>
          </wp:inline>
        </w:drawing>
      </w:r>
    </w:p>
    <w:p>
      <w:pPr>
        <w:pStyle w:val="Caption"/>
      </w:pPr>
      <w:r>
        <w:rPr>
          <w:b/>
          <w:i w:val="0"/>
        </w:rPr>
        <w:t xml:space="preserve">Steps </w:t>
      </w:r>
      <w:r>
        <w:rPr>
          <w:b/>
          <w:i w:val="0"/>
        </w:rPr>
        <w:t xml:space="preserve"> </w:t>
      </w:r>
      <w:r>
        <w:rPr>
          <w:b/>
          <w:i w:val="0"/>
        </w:rPr>
        <w:t>2</w:t>
      </w:r>
      <w:r>
        <w:rPr>
          <w:b/>
          <w:i w:val="0"/>
        </w:rPr>
        <w:t xml:space="preserve"> </w:t>
      </w:r>
      <w:r>
        <w:rPr>
          <w:b/>
          <w:i w:val="0"/>
        </w:rPr>
        <w:t xml:space="preserve"> · </w:t>
      </w:r>
      <w:r>
        <w:rPr>
          <w:b w:val="0"/>
          <w:i w:val="0"/>
        </w:rPr>
        <w:t>Select the micromechanics architecture and model.</w:t>
      </w:r>
      <w:r>
        <w:rPr>
          <w:b w:val="0"/>
          <w:i w:val="0"/>
        </w:rPr>
        <w:t xml:space="preserve"> </w:t>
      </w:r>
      <w:r>
        <w:rPr>
          <w:b w:val="0"/>
          <w:i w:val="0"/>
        </w:rPr>
        <w:t xml:space="preserve"> </w:t>
      </w:r>
      <w:hyperlink r:id="rId37">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val="0"/>
        <w:jc w:val="center"/>
      </w:pPr>
      <w:r>
        <w:drawing>
          <wp:inline xmlns:a="http://schemas.openxmlformats.org/drawingml/2006/main" xmlns:pic="http://schemas.openxmlformats.org/drawingml/2006/picture">
            <wp:extent cx="6217920" cy="3497580"/>
            <wp:docPr id="23" name="Picture 23" descr="Review the ply sequence, source and thickness."/>
            <wp:cNvGraphicFramePr>
              <a:graphicFrameLocks noChangeAspect="1"/>
            </wp:cNvGraphicFramePr>
            <a:graphic>
              <a:graphicData uri="http://schemas.openxmlformats.org/drawingml/2006/picture">
                <pic:pic>
                  <pic:nvPicPr>
                    <pic:cNvPr id="0" name="b98b322234bb1808339ffb732da1d404fea2cc3b4b018147cf6bc9be08c7b09f.png"/>
                    <pic:cNvPicPr/>
                  </pic:nvPicPr>
                  <pic:blipFill>
                    <a:blip r:embed="rId38"/>
                    <a:stretch>
                      <a:fillRect/>
                    </a:stretch>
                  </pic:blipFill>
                  <pic:spPr>
                    <a:xfrm>
                      <a:off x="0" y="0"/>
                      <a:ext cx="6217920" cy="3497580"/>
                    </a:xfrm>
                    <a:prstGeom prst="rect"/>
                  </pic:spPr>
                </pic:pic>
              </a:graphicData>
            </a:graphic>
          </wp:inline>
        </w:drawing>
      </w:r>
    </w:p>
    <w:p>
      <w:pPr>
        <w:pStyle w:val="Caption"/>
      </w:pPr>
      <w:r>
        <w:rPr>
          <w:b/>
          <w:i w:val="0"/>
        </w:rPr>
        <w:t xml:space="preserve">Steps </w:t>
      </w:r>
      <w:r>
        <w:rPr>
          <w:b/>
          <w:i w:val="0"/>
        </w:rPr>
        <w:t xml:space="preserve"> </w:t>
      </w:r>
      <w:r>
        <w:rPr>
          <w:b/>
          <w:i w:val="0"/>
        </w:rPr>
        <w:t>3</w:t>
      </w:r>
      <w:r>
        <w:rPr>
          <w:b/>
          <w:i w:val="0"/>
        </w:rPr>
        <w:t xml:space="preserve"> </w:t>
      </w:r>
      <w:r>
        <w:rPr>
          <w:b/>
          <w:i w:val="0"/>
        </w:rPr>
        <w:t xml:space="preserve"> · </w:t>
      </w:r>
      <w:r>
        <w:rPr>
          <w:b w:val="0"/>
          <w:i w:val="0"/>
        </w:rPr>
        <w:t>Review the ply sequence, source and thickness.</w:t>
      </w:r>
      <w:r>
        <w:rPr>
          <w:b w:val="0"/>
          <w:i w:val="0"/>
        </w:rPr>
        <w:t xml:space="preserve"> </w:t>
      </w:r>
      <w:r>
        <w:rPr>
          <w:b w:val="0"/>
          <w:i w:val="0"/>
        </w:rPr>
        <w:t xml:space="preserve"> </w:t>
      </w:r>
      <w:hyperlink r:id="rId39">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keepNext/>
        <w:jc w:val="center"/>
      </w:pPr>
      <w:r>
        <w:drawing>
          <wp:inline xmlns:a="http://schemas.openxmlformats.org/drawingml/2006/main" xmlns:pic="http://schemas.openxmlformats.org/drawingml/2006/picture">
            <wp:extent cx="6217920" cy="4897347"/>
            <wp:docPr id="24" name="Picture 24" descr="Earlier interface shown for reference. Connect laminate and applicable geometry inside each case, then select the case combination in SIMULATION."/>
            <wp:cNvGraphicFramePr>
              <a:graphicFrameLocks noChangeAspect="1"/>
            </wp:cNvGraphicFramePr>
            <a:graphic>
              <a:graphicData uri="http://schemas.openxmlformats.org/drawingml/2006/picture">
                <pic:pic>
                  <pic:nvPicPr>
                    <pic:cNvPr id="0" name="3e4919cb93ecd9e289678ee90a91fc92d8494fb6fad77bf561f1f4a89382fe84.png"/>
                    <pic:cNvPicPr/>
                  </pic:nvPicPr>
                  <pic:blipFill>
                    <a:blip r:embed="rId19"/>
                    <a:stretch>
                      <a:fillRect/>
                    </a:stretch>
                  </pic:blipFill>
                  <pic:spPr>
                    <a:xfrm>
                      <a:off x="0" y="0"/>
                      <a:ext cx="6217920" cy="4897347"/>
                    </a:xfrm>
                    <a:prstGeom prst="rect"/>
                  </pic:spPr>
                </pic:pic>
              </a:graphicData>
            </a:graphic>
          </wp:inline>
        </w:drawing>
      </w:r>
    </w:p>
    <w:p>
      <w:pPr>
        <w:pStyle w:val="Caption"/>
      </w:pPr>
      <w:r>
        <w:rPr>
          <w:b/>
          <w:i w:val="0"/>
        </w:rPr>
        <w:t xml:space="preserve">Steps </w:t>
      </w:r>
      <w:r>
        <w:rPr>
          <w:b/>
          <w:i w:val="0"/>
        </w:rPr>
        <w:t xml:space="preserve"> </w:t>
      </w:r>
      <w:r>
        <w:rPr>
          <w:b/>
          <w:i w:val="0"/>
        </w:rPr>
        <w:t>4</w:t>
      </w:r>
      <w:r>
        <w:rPr>
          <w:b/>
          <w:i w:val="0"/>
        </w:rPr>
        <w:t xml:space="preserve"> </w:t>
      </w:r>
      <w:r>
        <w:rPr>
          <w:b/>
          <w:i w:val="0"/>
        </w:rPr>
        <w:t xml:space="preserve"> · </w:t>
      </w:r>
      <w:r>
        <w:rPr>
          <w:b w:val="0"/>
          <w:i w:val="0"/>
        </w:rPr>
        <w:t>Earlier interface shown for reference. Connect laminate and applicable geometry inside each case, then select the case combination in SIMULATION.</w:t>
      </w:r>
      <w:r>
        <w:rPr>
          <w:b w:val="0"/>
          <w:i w:val="0"/>
        </w:rPr>
        <w:t xml:space="preserve"> </w:t>
      </w:r>
      <w:r>
        <w:rPr>
          <w:b w:val="0"/>
          <w:i w:val="0"/>
        </w:rPr>
        <w:t xml:space="preserve"> </w:t>
      </w:r>
      <w:hyperlink r:id="rId20">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A display icon or selected theory does not supply missing material parameters. Inspect the consumed inputs and solver messages.</w:t>
      </w:r>
    </w:p>
    <w:p>
      <w:pPr>
        <w:pStyle w:val="Heading2"/>
      </w:pPr>
      <w:r>
        <w:t>Live sync navigation and calculation are different</w:t>
      </w:r>
    </w:p>
    <w:p>
      <w:pPr/>
      <w:r>
        <w:rPr>
          <w:b w:val="0"/>
          <w:i w:val="0"/>
        </w:rPr>
        <w:t>Inputs and Outputs have independent menu-response controls. With a control enabled, selecting a tree record updates that pane. Turn one off to keep its current view while navigating the other. An explicit open/double-click can open the chosen record even when ordinary menu response is off.</w:t>
      </w:r>
    </w:p>
    <w:p>
      <w:pPr>
        <w:pStyle w:val="ListBullet"/>
      </w:pPr>
      <w:r>
        <w:rPr>
          <w:b w:val="0"/>
          <w:i w:val="0"/>
        </w:rPr>
        <w:t>Use the Inputs/Outputs link controls to decide which pane follows tree selection.</w:t>
      </w:r>
      <w:r>
        <w:rPr>
          <w:b w:val="0"/>
          <w:i w:val="0"/>
        </w:rPr>
        <w:t xml:space="preserve"> </w:t>
      </w:r>
      <w:r>
        <w:rPr>
          <w:b w:val="0"/>
          <w:i w:val="0"/>
        </w:rPr>
        <w:t xml:space="preserve"> </w:t>
      </w:r>
      <w:hyperlink r:id="rId40">
        <w:r>
          <w:rPr>
            <w:color w:val="176EA4"/>
          </w:rPr>
          <w:t>See screenshot</w:t>
        </w:r>
      </w:hyperlink>
      <w:r>
        <w:t xml:space="preserve"> </w:t>
      </w:r>
    </w:p>
    <w:p>
      <w:pPr>
        <w:pStyle w:val="ListBullet"/>
      </w:pPr>
      <w:r>
        <w:rPr>
          <w:b w:val="0"/>
          <w:i w:val="0"/>
        </w:rPr>
        <w:t>Use Ctrl/Command-click or Shift-click for comparison selections; check the selected record names, not just the active tab.</w:t>
      </w:r>
    </w:p>
    <w:p>
      <w:pPr>
        <w:pStyle w:val="ListBullet"/>
      </w:pPr>
      <w:r>
        <w:rPr>
          <w:b w:val="0"/>
          <w:i w:val="0"/>
        </w:rPr>
        <w:t>Drag the main and internal dividers to allocate space. Plot resizing changes presentation, not numerical fidelity.</w:t>
      </w:r>
      <w:r>
        <w:rPr>
          <w:b w:val="0"/>
          <w:i w:val="0"/>
        </w:rPr>
        <w:t xml:space="preserve"> </w:t>
      </w:r>
      <w:r>
        <w:rPr>
          <w:b w:val="0"/>
          <w:i w:val="0"/>
        </w:rPr>
        <w:t xml:space="preserve"> </w:t>
      </w:r>
      <w:hyperlink r:id="rId40">
        <w:r>
          <w:rPr>
            <w:color w:val="176EA4"/>
          </w:rPr>
          <w:t>See screenshot</w:t>
        </w:r>
      </w:hyperlink>
      <w:r>
        <w:t xml:space="preserve"> </w:t>
      </w:r>
    </w:p>
    <w:p>
      <w:pPr>
        <w:keepNext/>
        <w:jc w:val="center"/>
      </w:pPr>
      <w:r>
        <w:drawing>
          <wp:inline xmlns:a="http://schemas.openxmlformats.org/drawingml/2006/main" xmlns:pic="http://schemas.openxmlformats.org/drawingml/2006/picture">
            <wp:extent cx="6217920" cy="4304354"/>
            <wp:docPr id="25" name="Picture 25" descr="The chain controls at the left of the input and output tabs control which pane follows selection. Dividers allocate space between the tree, inputs and outputs."/>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15"/>
                    <a:stretch>
                      <a:fillRect/>
                    </a:stretch>
                  </pic:blipFill>
                  <pic:spPr>
                    <a:xfrm>
                      <a:off x="0" y="0"/>
                      <a:ext cx="6217920" cy="4304354"/>
                    </a:xfrm>
                    <a:prstGeom prst="rect"/>
                  </pic:spPr>
                </pic:pic>
              </a:graphicData>
            </a:graphic>
          </wp:inline>
        </w:drawing>
      </w:r>
    </w:p>
    <w:p>
      <w:pPr>
        <w:pStyle w:val="Caption"/>
      </w:pPr>
      <w:r>
        <w:rPr>
          <w:b/>
          <w:i w:val="0"/>
        </w:rPr>
        <w:t xml:space="preserve">Steps </w:t>
      </w:r>
      <w:r>
        <w:rPr>
          <w:b/>
          <w:i w:val="0"/>
        </w:rPr>
        <w:t xml:space="preserve"> </w:t>
      </w:r>
      <w:r>
        <w:rPr>
          <w:b/>
          <w:i w:val="0"/>
        </w:rPr>
        <w:t>1, 3</w:t>
      </w:r>
      <w:r>
        <w:rPr>
          <w:b/>
          <w:i w:val="0"/>
        </w:rPr>
        <w:t xml:space="preserve"> </w:t>
      </w:r>
      <w:r>
        <w:rPr>
          <w:b/>
          <w:i w:val="0"/>
        </w:rPr>
        <w:t xml:space="preserve"> · </w:t>
      </w:r>
      <w:r>
        <w:rPr>
          <w:b w:val="0"/>
          <w:i w:val="0"/>
        </w:rPr>
        <w:t>The chain controls at the left of the input and output tabs control which pane follows selection. Dividers allocate space between the tree, inputs and outputs.</w:t>
      </w:r>
      <w:r>
        <w:rPr>
          <w:b w:val="0"/>
          <w:i w:val="0"/>
        </w:rPr>
        <w:t xml:space="preserve"> </w:t>
      </w:r>
      <w:r>
        <w:rPr>
          <w:b w:val="0"/>
          <w:i w:val="0"/>
        </w:rPr>
        <w:t xml:space="preserve"> </w:t>
      </w:r>
      <w:hyperlink r:id="rId1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Live sync is not automatic cloud collaboration, a saved snapshot, or a guarantee that every solver result has been recalculated.</w:t>
      </w:r>
    </w:p>
    <w:p>
      <w:pPr>
        <w:pStyle w:val="Heading2"/>
      </w:pPr>
      <w:r>
        <w:t>Know whether you are viewing live or saved results</w:t>
      </w:r>
    </w:p>
    <w:p>
      <w:pPr/>
      <w:r>
        <w:rPr>
          <w:b w:val="0"/>
          <w:i w:val="0"/>
        </w:rPr>
        <w:t>Live CLT uses the current visible ply materials, thicknesses, angles and mechanical loads. A material change can therefore update elastic stress/strain previews without a full service run. Thermal, cure and moisture residuals may still come from the last saved solver run.</w:t>
      </w:r>
    </w:p>
    <w:p>
      <w:pPr>
        <w:pStyle w:val="ListBullet"/>
      </w:pPr>
      <w:r>
        <w:rPr>
          <w:b w:val="0"/>
          <w:i w:val="0"/>
        </w:rPr>
        <w:t>Read the response source and process-time controls in Response. Combined, mechanical and environmental contributions are different views.</w:t>
      </w:r>
    </w:p>
    <w:p>
      <w:pPr>
        <w:pStyle w:val="ListBullet"/>
      </w:pPr>
      <w:r>
        <w:rPr>
          <w:b w:val="0"/>
          <w:i w:val="0"/>
        </w:rPr>
        <w:t>After changing a material, laminate or process history, rerun the solver before relying on coupled residual results.</w:t>
      </w:r>
    </w:p>
    <w:p>
      <w:pPr>
        <w:pStyle w:val="ListBullet"/>
      </w:pPr>
      <w:r>
        <w:rPr>
          <w:b w:val="0"/>
          <w:i w:val="0"/>
        </w:rPr>
        <w:t>Treat Inputs changed, rerun, incomplete inputs and unavailable-contribution messages as part of the result—not cosmetic warnings.</w:t>
      </w:r>
    </w:p>
    <w:p>
      <w:pPr>
        <w:pStyle w:val="ListBullet"/>
      </w:pPr>
      <w:r>
        <w:rPr>
          <w:b w:val="0"/>
          <w:i w:val="0"/>
        </w:rPr>
        <w:t>Use Run History to identify the completed run and its messages. Save input records and export the complete study when it becomes a review baseline.</w:t>
      </w:r>
    </w:p>
    <w:p>
      <w:pPr>
        <w:keepNext/>
      </w:pPr>
      <w:r>
        <w:t>Good practice</w:t>
      </w:r>
    </w:p>
    <w:p>
      <w:pPr/>
      <w:r>
        <w:rPr>
          <w:b w:val="0"/>
          <w:i w:val="0"/>
        </w:rPr>
        <w:t>Increasing plotted recovery nodes per ply improves sampling; it does not add a new three-dimensional constitutive model or recover unmodeled physics.</w:t>
      </w:r>
    </w:p>
    <w:p>
      <w:pPr>
        <w:pStyle w:val="Heading2"/>
      </w:pPr>
      <w:r>
        <w:t>Material classes icons and searchable selection</w:t>
      </w:r>
    </w:p>
    <w:p>
      <w:pPr/>
      <w:r>
        <w:rPr>
          <w:b w:val="0"/>
          <w:i w:val="0"/>
        </w:rPr>
        <w:t>Built-in material classes have stable visual identities: fibers, polymers, hexagonal cores, metal ingots, elastomer dogbones and green composite microstructure icons. User-defined classes can have a selected icon and color. A new material also needs a material type because type determines its input records.</w:t>
      </w:r>
    </w:p>
    <w:p>
      <w:pPr>
        <w:pStyle w:val="ListBullet"/>
      </w:pPr>
      <w:r>
        <w:rPr>
          <w:b w:val="0"/>
          <w:i w:val="0"/>
        </w:rPr>
        <w:t>Search the laminate material selector by material or class. Use the All materials filter above Material / solved lamina to narrow long lists.</w:t>
      </w:r>
    </w:p>
    <w:p>
      <w:pPr>
        <w:pStyle w:val="ListBullet"/>
      </w:pPr>
      <w:r>
        <w:rPr>
          <w:b w:val="0"/>
          <w:i w:val="0"/>
        </w:rPr>
        <w:t>Confirm the full material name and source type before selecting a ply source. Color helps recognition; it is not a substitute for identity or units.</w:t>
      </w:r>
    </w:p>
    <w:p>
      <w:pPr>
        <w:pStyle w:val="ListBullet"/>
      </w:pPr>
      <w:r>
        <w:rPr>
          <w:b w:val="0"/>
          <w:i w:val="0"/>
        </w:rPr>
        <w:t>Use a selected column’s fill-down arrow to copy the selected row’s value. Review the affected plies before saving.</w:t>
      </w:r>
    </w:p>
    <w:p>
      <w:pPr>
        <w:pStyle w:val="ListBullet"/>
      </w:pPr>
      <w:r>
        <w:rPr>
          <w:b w:val="0"/>
          <w:i w:val="0"/>
        </w:rPr>
        <w:t>Use Duplicate and enter a count for design studies. Copies get separate identities; linked records remain references unless separately duplicated.</w:t>
      </w:r>
    </w:p>
    <w:p>
      <w:pPr>
        <w:keepNext/>
      </w:pPr>
      <w:r>
        <w:t>Good practice</w:t>
      </w:r>
    </w:p>
    <w:p>
      <w:pPr/>
      <w:r>
        <w:rPr>
          <w:b w:val="0"/>
          <w:i w:val="0"/>
        </w:rPr>
        <w:t>Record locks prevent accidental edits. Slider bounds and increments assist input; they do not certify that a value is valid for your material, temperature or loading regime.</w:t>
      </w:r>
    </w:p>
    <w:p>
      <w:pPr>
        <w:pStyle w:val="Heading2"/>
      </w:pPr>
      <w:r>
        <w:t>Keep sources and completion assumptions visible</w:t>
      </w:r>
    </w:p>
    <w:p>
      <w:pPr/>
      <w:r>
        <w:rPr>
          <w:b w:val="0"/>
          <w:i w:val="0"/>
        </w:rPr>
        <w:t>Material records can store a source URL, citation, status, basis and notes. Supplier-supported values and CDS engineering completion fields remain distinguishable in the same record.</w:t>
      </w:r>
    </w:p>
    <w:p>
      <w:pPr>
        <w:pStyle w:val="ListBullet"/>
      </w:pPr>
      <w:r>
        <w:rPr>
          <w:b w:val="0"/>
          <w:i w:val="0"/>
        </w:rPr>
        <w:t>Open Source and provenance above the material property groups and follow any supplier links. Multiple source links are shown separately.</w:t>
      </w:r>
      <w:r>
        <w:rPr>
          <w:b w:val="0"/>
          <w:i w:val="0"/>
        </w:rPr>
        <w:t xml:space="preserve"> </w:t>
      </w:r>
      <w:r>
        <w:rPr>
          <w:b w:val="0"/>
          <w:i w:val="0"/>
        </w:rPr>
        <w:t xml:space="preserve"> </w:t>
      </w:r>
      <w:hyperlink r:id="rId41">
        <w:r>
          <w:rPr>
            <w:color w:val="176EA4"/>
          </w:rPr>
          <w:t>See screenshot</w:t>
        </w:r>
      </w:hyperlink>
      <w:r>
        <w:t xml:space="preserve"> </w:t>
      </w:r>
    </w:p>
    <w:p>
      <w:pPr>
        <w:pStyle w:val="ListBullet"/>
      </w:pPr>
      <w:r>
        <w:rPr>
          <w:b w:val="0"/>
          <w:i w:val="0"/>
        </w:rPr>
        <w:t>Use Show zero terms when a stored zero-value property needs to be reviewed or edited. Zero does not mean unavailable; confirm its physical meaning.</w:t>
      </w:r>
      <w:r>
        <w:rPr>
          <w:b w:val="0"/>
          <w:i w:val="0"/>
        </w:rPr>
        <w:t xml:space="preserve"> </w:t>
      </w:r>
      <w:r>
        <w:rPr>
          <w:b w:val="0"/>
          <w:i w:val="0"/>
        </w:rPr>
        <w:t xml:space="preserve"> </w:t>
      </w:r>
      <w:hyperlink r:id="rId41">
        <w:r>
          <w:rPr>
            <w:color w:val="176EA4"/>
          </w:rPr>
          <w:t>See screenshot</w:t>
        </w:r>
      </w:hyperlink>
      <w:r>
        <w:t xml:space="preserve"> </w:t>
      </w:r>
    </w:p>
    <w:p>
      <w:pPr>
        <w:pStyle w:val="ListBullet"/>
      </w:pPr>
      <w:r>
        <w:rPr>
          <w:b w:val="0"/>
          <w:i w:val="0"/>
        </w:rPr>
        <w:t>Treat public supplier values, internal qualified records, representative starter values and model fallbacks as different evidence levels.</w:t>
      </w:r>
    </w:p>
    <w:p>
      <w:pPr>
        <w:pStyle w:val="ListBullet"/>
      </w:pPr>
      <w:r>
        <w:rPr>
          <w:b w:val="0"/>
          <w:i w:val="0"/>
        </w:rPr>
        <w:t>When a material lacks a required transport or strength property, enter qualified data or use an explicitly visible editable model input. Do not assume a successful solve proves the source material record was complete.</w:t>
      </w:r>
    </w:p>
    <w:p>
      <w:pPr>
        <w:keepNext/>
        <w:jc w:val="center"/>
      </w:pPr>
      <w:r>
        <w:drawing>
          <wp:inline xmlns:a="http://schemas.openxmlformats.org/drawingml/2006/main" xmlns:pic="http://schemas.openxmlformats.org/drawingml/2006/picture">
            <wp:extent cx="6217920" cy="4304354"/>
            <wp:docPr id="26" name="Picture 26" descr="Source and provenance is above the property groups. Open source follows the supporting document; Show zero terms is at the right."/>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15"/>
                    <a:stretch>
                      <a:fillRect/>
                    </a:stretch>
                  </pic:blipFill>
                  <pic:spPr>
                    <a:xfrm>
                      <a:off x="0" y="0"/>
                      <a:ext cx="6217920" cy="4304354"/>
                    </a:xfrm>
                    <a:prstGeom prst="rect"/>
                  </pic:spPr>
                </pic:pic>
              </a:graphicData>
            </a:graphic>
          </wp:inline>
        </w:drawing>
      </w:r>
    </w:p>
    <w:p>
      <w:pPr>
        <w:pStyle w:val="Caption"/>
      </w:pPr>
      <w:r>
        <w:rPr>
          <w:b/>
          <w:i w:val="0"/>
        </w:rPr>
        <w:t xml:space="preserve">Steps </w:t>
      </w:r>
      <w:r>
        <w:rPr>
          <w:b/>
          <w:i w:val="0"/>
        </w:rPr>
        <w:t xml:space="preserve"> </w:t>
      </w:r>
      <w:r>
        <w:rPr>
          <w:b/>
          <w:i w:val="0"/>
        </w:rPr>
        <w:t>1, 2</w:t>
      </w:r>
      <w:r>
        <w:rPr>
          <w:b/>
          <w:i w:val="0"/>
        </w:rPr>
        <w:t xml:space="preserve"> </w:t>
      </w:r>
      <w:r>
        <w:rPr>
          <w:b/>
          <w:i w:val="0"/>
        </w:rPr>
        <w:t xml:space="preserve"> · </w:t>
      </w:r>
      <w:r>
        <w:rPr>
          <w:b w:val="0"/>
          <w:i w:val="0"/>
        </w:rPr>
        <w:t>Source and provenance is above the property groups. Open source follows the supporting document; Show zero terms is at the right.</w:t>
      </w:r>
      <w:r>
        <w:rPr>
          <w:b w:val="0"/>
          <w:i w:val="0"/>
        </w:rPr>
        <w:t xml:space="preserve"> </w:t>
      </w:r>
      <w:r>
        <w:rPr>
          <w:b w:val="0"/>
          <w:i w:val="0"/>
        </w:rPr>
        <w:t xml:space="preserve"> </w:t>
      </w:r>
      <w:hyperlink r:id="rId1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Source metadata documents where a value came from; it does not make a typical supplier value a design allowable.</w:t>
      </w:r>
    </w:p>
    <w:p>
      <w:pPr>
        <w:pStyle w:val="Heading2"/>
      </w:pPr>
      <w:r>
        <w:t>Move and duplicate study records in groups</w:t>
      </w:r>
    </w:p>
    <w:p>
      <w:pPr/>
      <w:r>
        <w:rPr>
          <w:b w:val="0"/>
          <w:i w:val="0"/>
        </w:rPr>
        <w:t>Multi-selection applies to records throughout the master tree. This supports design-study setup without repeating the same move or duplicate command one item at a time.</w:t>
      </w:r>
    </w:p>
    <w:p>
      <w:pPr>
        <w:pStyle w:val="ListBullet"/>
      </w:pPr>
      <w:r>
        <w:rPr>
          <w:b w:val="0"/>
          <w:i w:val="0"/>
        </w:rPr>
        <w:t>Select records with Ctrl/Command-click or a contiguous range with Shift-click.</w:t>
      </w:r>
    </w:p>
    <w:p>
      <w:pPr>
        <w:pStyle w:val="ListBullet"/>
      </w:pPr>
      <w:r>
        <w:rPr>
          <w:b w:val="0"/>
          <w:i w:val="0"/>
        </w:rPr>
        <w:t>Choose Move, search for a compatible destination class, review the count and confirm the operation.</w:t>
      </w:r>
      <w:r>
        <w:rPr>
          <w:b w:val="0"/>
          <w:i w:val="0"/>
        </w:rPr>
        <w:t xml:space="preserve"> </w:t>
      </w:r>
      <w:r>
        <w:rPr>
          <w:b w:val="0"/>
          <w:i w:val="0"/>
        </w:rPr>
        <w:t xml:space="preserve"> </w:t>
      </w:r>
      <w:hyperlink r:id="rId42">
        <w:r>
          <w:rPr>
            <w:color w:val="176EA4"/>
          </w:rPr>
          <w:t>See screenshot</w:t>
        </w:r>
      </w:hyperlink>
      <w:r>
        <w:t xml:space="preserve"> </w:t>
      </w:r>
    </w:p>
    <w:p>
      <w:pPr>
        <w:pStyle w:val="ListBullet"/>
      </w:pPr>
      <w:r>
        <w:rPr>
          <w:b w:val="0"/>
          <w:i w:val="0"/>
        </w:rPr>
        <w:t>Choose Duplicate and enter the required copy count. Each copy receives its own identity.</w:t>
      </w:r>
      <w:r>
        <w:rPr>
          <w:b w:val="0"/>
          <w:i w:val="0"/>
        </w:rPr>
        <w:t xml:space="preserve"> </w:t>
      </w:r>
      <w:r>
        <w:rPr>
          <w:b w:val="0"/>
          <w:i w:val="0"/>
        </w:rPr>
        <w:t xml:space="preserve"> </w:t>
      </w:r>
      <w:hyperlink r:id="rId42">
        <w:r>
          <w:rPr>
            <w:color w:val="176EA4"/>
          </w:rPr>
          <w:t>See screenshot</w:t>
        </w:r>
      </w:hyperlink>
      <w:r>
        <w:t xml:space="preserve"> </w:t>
      </w:r>
    </w:p>
    <w:p>
      <w:pPr>
        <w:pStyle w:val="ListBullet"/>
      </w:pPr>
      <w:r>
        <w:rPr>
          <w:b w:val="0"/>
          <w:i w:val="0"/>
        </w:rPr>
        <w:t>The Optimizations branch remains visible under Simulations even when empty. Saved laminate, lamina/micro and process studies appear there for reopening and comparison.</w:t>
      </w:r>
    </w:p>
    <w:p>
      <w:pPr>
        <w:keepNext/>
        <w:jc w:val="center"/>
      </w:pPr>
      <w:r>
        <w:drawing>
          <wp:inline xmlns:a="http://schemas.openxmlformats.org/drawingml/2006/main" xmlns:pic="http://schemas.openxmlformats.org/drawingml/2006/picture">
            <wp:extent cx="6217920" cy="5545711"/>
            <wp:docPr id="27" name="Picture 27" descr="Record context menus contain Duplicate and Move commands. Confirm the selection and scope before proceeding."/>
            <wp:cNvGraphicFramePr>
              <a:graphicFrameLocks noChangeAspect="1"/>
            </wp:cNvGraphicFramePr>
            <a:graphic>
              <a:graphicData uri="http://schemas.openxmlformats.org/drawingml/2006/picture">
                <pic:pic>
                  <pic:nvPicPr>
                    <pic:cNvPr id="0" name="b91d230f0a73048d57b704049bcf17c3d04bd0f9cda647340b93d06d9a8718d7.png"/>
                    <pic:cNvPicPr/>
                  </pic:nvPicPr>
                  <pic:blipFill>
                    <a:blip r:embed="rId24"/>
                    <a:stretch>
                      <a:fillRect/>
                    </a:stretch>
                  </pic:blipFill>
                  <pic:spPr>
                    <a:xfrm>
                      <a:off x="0" y="0"/>
                      <a:ext cx="6217920" cy="5545711"/>
                    </a:xfrm>
                    <a:prstGeom prst="rect"/>
                  </pic:spPr>
                </pic:pic>
              </a:graphicData>
            </a:graphic>
          </wp:inline>
        </w:drawing>
      </w:r>
    </w:p>
    <w:p>
      <w:pPr>
        <w:pStyle w:val="Caption"/>
      </w:pPr>
      <w:r>
        <w:rPr>
          <w:b/>
          <w:i w:val="0"/>
        </w:rPr>
        <w:t xml:space="preserve">Steps </w:t>
      </w:r>
      <w:r>
        <w:rPr>
          <w:b/>
          <w:i w:val="0"/>
        </w:rPr>
        <w:t xml:space="preserve"> </w:t>
      </w:r>
      <w:r>
        <w:rPr>
          <w:b/>
          <w:i w:val="0"/>
        </w:rPr>
        <w:t>2, 3</w:t>
      </w:r>
      <w:r>
        <w:rPr>
          <w:b/>
          <w:i w:val="0"/>
        </w:rPr>
        <w:t xml:space="preserve"> </w:t>
      </w:r>
      <w:r>
        <w:rPr>
          <w:b/>
          <w:i w:val="0"/>
        </w:rPr>
        <w:t xml:space="preserve"> · </w:t>
      </w:r>
      <w:r>
        <w:rPr>
          <w:b w:val="0"/>
          <w:i w:val="0"/>
        </w:rPr>
        <w:t>Record context menus contain Duplicate and Move commands. Confirm the selection and scope before proceeding.</w:t>
      </w:r>
      <w:r>
        <w:rPr>
          <w:b w:val="0"/>
          <w:i w:val="0"/>
        </w:rPr>
        <w:t xml:space="preserve"> </w:t>
      </w:r>
      <w:r>
        <w:rPr>
          <w:b w:val="0"/>
          <w:i w:val="0"/>
        </w:rPr>
        <w:t xml:space="preserve"> </w:t>
      </w:r>
      <w:hyperlink r:id="rId25">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Moving a record does not rewrite its reference identity. Review dependent simulations after reorganizing linked inputs.</w:t>
      </w:r>
    </w:p>
    <w:p>
      <w:pPr>
        <w:pStyle w:val="Heading2"/>
      </w:pPr>
      <w:r>
        <w:t>Laminate construction and LiveStack</w:t>
      </w:r>
    </w:p>
    <w:p>
      <w:pPr/>
      <w:r>
        <w:rPr>
          <w:b w:val="0"/>
          <w:i w:val="0"/>
        </w:rPr>
        <w:t>The ply table and LiveStack share the same layup. The material and angle color modes answer different questions: which material is used, and how fibers are oriented. Presets, symmetry, balance and Double-Double actions change the layup and must be reviewed as engineering edits.</w:t>
      </w:r>
    </w:p>
    <w:p>
      <w:pPr>
        <w:pStyle w:val="ListBullet"/>
      </w:pPr>
      <w:r>
        <w:rPr>
          <w:b w:val="0"/>
          <w:i w:val="0"/>
        </w:rPr>
        <w:t>Check the ply count, total thickness and source material after a preset or fill operation.</w:t>
      </w:r>
      <w:r>
        <w:rPr>
          <w:b w:val="0"/>
          <w:i w:val="0"/>
        </w:rPr>
        <w:t xml:space="preserve"> </w:t>
      </w:r>
      <w:r>
        <w:rPr>
          <w:b w:val="0"/>
          <w:i w:val="0"/>
        </w:rPr>
        <w:t xml:space="preserve"> </w:t>
      </w:r>
      <w:hyperlink r:id="rId43">
        <w:r>
          <w:rPr>
            <w:color w:val="176EA4"/>
          </w:rPr>
          <w:t>See screenshot</w:t>
        </w:r>
      </w:hyperlink>
      <w:r>
        <w:t xml:space="preserve"> </w:t>
      </w:r>
    </w:p>
    <w:p>
      <w:pPr>
        <w:pStyle w:val="ListBullet"/>
      </w:pPr>
      <w:r>
        <w:rPr>
          <w:b w:val="0"/>
          <w:i w:val="0"/>
        </w:rPr>
        <w:t>Use the geometry-type dropdown to expose the relevant dimensions. Per-type values are retained when changing types.</w:t>
      </w:r>
    </w:p>
    <w:p>
      <w:pPr>
        <w:pStyle w:val="ListBullet"/>
      </w:pPr>
      <w:r>
        <w:rPr>
          <w:b w:val="0"/>
          <w:i w:val="0"/>
        </w:rPr>
        <w:t>Inspect laminate properties alongside ABD and inverse-ABD matrices. Off-diagonal coupling can be real; it is not automatically an error.</w:t>
      </w:r>
    </w:p>
    <w:p>
      <w:pPr>
        <w:pStyle w:val="ListBullet"/>
      </w:pPr>
      <w:r>
        <w:rPr>
          <w:b w:val="0"/>
          <w:i w:val="0"/>
        </w:rPr>
        <w:t>A hidden ply is excluded from the current visible-ply preview. Resolve hidden plies before optimization rather than silently optimizing a different stack.</w:t>
      </w:r>
      <w:r>
        <w:rPr>
          <w:b w:val="0"/>
          <w:i w:val="0"/>
        </w:rPr>
        <w:t xml:space="preserve"> </w:t>
      </w:r>
      <w:r>
        <w:rPr>
          <w:b w:val="0"/>
          <w:i w:val="0"/>
        </w:rPr>
        <w:t xml:space="preserve"> </w:t>
      </w:r>
      <w:hyperlink r:id="rId43">
        <w:r>
          <w:rPr>
            <w:color w:val="176EA4"/>
          </w:rPr>
          <w:t>See screenshot</w:t>
        </w:r>
      </w:hyperlink>
      <w:r>
        <w:t xml:space="preserve"> </w:t>
      </w:r>
    </w:p>
    <w:p>
      <w:pPr>
        <w:keepNext/>
        <w:jc w:val="center"/>
      </w:pPr>
      <w:r>
        <w:drawing>
          <wp:inline xmlns:a="http://schemas.openxmlformats.org/drawingml/2006/main" xmlns:pic="http://schemas.openxmlformats.org/drawingml/2006/picture">
            <wp:extent cx="6217920" cy="3497580"/>
            <wp:docPr id="28" name="Picture 28" descr="Ply count, material source, visibility and total thickness can be checked directly against LiveStack."/>
            <wp:cNvGraphicFramePr>
              <a:graphicFrameLocks noChangeAspect="1"/>
            </wp:cNvGraphicFramePr>
            <a:graphic>
              <a:graphicData uri="http://schemas.openxmlformats.org/drawingml/2006/picture">
                <pic:pic>
                  <pic:nvPicPr>
                    <pic:cNvPr id="0" name="b98b322234bb1808339ffb732da1d404fea2cc3b4b018147cf6bc9be08c7b09f.png"/>
                    <pic:cNvPicPr/>
                  </pic:nvPicPr>
                  <pic:blipFill>
                    <a:blip r:embed="rId38"/>
                    <a:stretch>
                      <a:fillRect/>
                    </a:stretch>
                  </pic:blipFill>
                  <pic:spPr>
                    <a:xfrm>
                      <a:off x="0" y="0"/>
                      <a:ext cx="6217920" cy="3497580"/>
                    </a:xfrm>
                    <a:prstGeom prst="rect"/>
                  </pic:spPr>
                </pic:pic>
              </a:graphicData>
            </a:graphic>
          </wp:inline>
        </w:drawing>
      </w:r>
    </w:p>
    <w:p>
      <w:pPr>
        <w:pStyle w:val="Caption"/>
      </w:pPr>
      <w:r>
        <w:rPr>
          <w:b/>
          <w:i w:val="0"/>
        </w:rPr>
        <w:t xml:space="preserve">Steps </w:t>
      </w:r>
      <w:r>
        <w:rPr>
          <w:b/>
          <w:i w:val="0"/>
        </w:rPr>
        <w:t xml:space="preserve"> </w:t>
      </w:r>
      <w:r>
        <w:rPr>
          <w:b/>
          <w:i w:val="0"/>
        </w:rPr>
        <w:t>1, 4</w:t>
      </w:r>
      <w:r>
        <w:rPr>
          <w:b/>
          <w:i w:val="0"/>
        </w:rPr>
        <w:t xml:space="preserve"> </w:t>
      </w:r>
      <w:r>
        <w:rPr>
          <w:b/>
          <w:i w:val="0"/>
        </w:rPr>
        <w:t xml:space="preserve"> · </w:t>
      </w:r>
      <w:r>
        <w:rPr>
          <w:b w:val="0"/>
          <w:i w:val="0"/>
        </w:rPr>
        <w:t>Ply count, material source, visibility and total thickness can be checked directly against LiveStack.</w:t>
      </w:r>
      <w:r>
        <w:rPr>
          <w:b w:val="0"/>
          <w:i w:val="0"/>
        </w:rPr>
        <w:t xml:space="preserve"> </w:t>
      </w:r>
      <w:r>
        <w:rPr>
          <w:b w:val="0"/>
          <w:i w:val="0"/>
        </w:rPr>
        <w:t xml:space="preserve"> </w:t>
      </w:r>
      <w:hyperlink r:id="rId39">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pStyle w:val="Heading2"/>
      </w:pPr>
      <w:r>
        <w:t>Independent boundaries and shared pressure</w:t>
      </w:r>
    </w:p>
    <w:p>
      <w:pPr/>
      <w:r>
        <w:rPr>
          <w:b w:val="0"/>
          <w:i w:val="0"/>
        </w:rPr>
        <w:t>Upper and lower thermal boundary schedules can differ. Their time, temperature and boundary condition records define the applied history. Pressure shown alongside both boundary tables is a shared process load—not two independent pressures to add together.</w:t>
      </w:r>
    </w:p>
    <w:p>
      <w:pPr>
        <w:pStyle w:val="ListBullet"/>
      </w:pPr>
      <w:r>
        <w:rPr>
          <w:b w:val="0"/>
          <w:i w:val="0"/>
        </w:rPr>
        <w:t>Define ordered cycle steps and check units before using Temperature, boundary-condition or pressure fill-down.</w:t>
      </w:r>
      <w:r>
        <w:rPr>
          <w:b w:val="0"/>
          <w:i w:val="0"/>
        </w:rPr>
        <w:t xml:space="preserve"> </w:t>
      </w:r>
      <w:r>
        <w:rPr>
          <w:b w:val="0"/>
          <w:i w:val="0"/>
        </w:rPr>
        <w:t xml:space="preserve"> </w:t>
      </w:r>
      <w:hyperlink r:id="rId44">
        <w:r>
          <w:rPr>
            <w:color w:val="176EA4"/>
          </w:rPr>
          <w:t>See screenshot</w:t>
        </w:r>
      </w:hyperlink>
      <w:r>
        <w:t xml:space="preserve"> </w:t>
      </w:r>
    </w:p>
    <w:p>
      <w:pPr>
        <w:pStyle w:val="ListBullet"/>
      </w:pPr>
      <w:r>
        <w:rPr>
          <w:b w:val="0"/>
          <w:i w:val="0"/>
        </w:rPr>
        <w:t>Set the thermal or moisture analysis resolution and output interval in its input record.</w:t>
      </w:r>
      <w:r>
        <w:rPr>
          <w:b w:val="0"/>
          <w:i w:val="0"/>
        </w:rPr>
        <w:t xml:space="preserve"> </w:t>
      </w:r>
      <w:r>
        <w:rPr>
          <w:b w:val="0"/>
          <w:i w:val="0"/>
        </w:rPr>
        <w:t xml:space="preserve"> </w:t>
      </w:r>
      <w:hyperlink r:id="rId45">
        <w:r>
          <w:rPr>
            <w:color w:val="176EA4"/>
          </w:rPr>
          <w:t>See screenshot</w:t>
        </w:r>
      </w:hyperlink>
      <w:r>
        <w:t xml:space="preserve"> </w:t>
      </w:r>
    </w:p>
    <w:p>
      <w:pPr>
        <w:pStyle w:val="ListBullet"/>
      </w:pPr>
      <w:r>
        <w:rPr>
          <w:b w:val="0"/>
          <w:i w:val="0"/>
        </w:rPr>
        <w:t>Use the solver-level 2D grid. The former coarse display grid has been removed; the default 51 × 33 example reflects its time and through-thickness settings, not a universal mesh.</w:t>
      </w:r>
    </w:p>
    <w:p>
      <w:pPr>
        <w:pStyle w:val="ListBullet"/>
      </w:pPr>
      <w:r>
        <w:rPr>
          <w:b w:val="0"/>
          <w:i w:val="0"/>
        </w:rPr>
        <w:t>Inspect the 2D history with time-history and through-thickness sections alongside it. Move the cursor to examine a matching time/depth state.</w:t>
      </w:r>
    </w:p>
    <w:p>
      <w:pPr>
        <w:pStyle w:val="ListBullet"/>
      </w:pPr>
      <w:r>
        <w:rPr>
          <w:b w:val="0"/>
          <w:i w:val="0"/>
        </w:rPr>
        <w:t>Check film coefficients, initial conditions and any missing heat-of-reaction or kinetic-model messages before interpreting residual stress.</w:t>
      </w:r>
    </w:p>
    <w:p>
      <w:pPr>
        <w:keepNext w:val="0"/>
        <w:jc w:val="center"/>
      </w:pPr>
      <w:r>
        <w:drawing>
          <wp:inline xmlns:a="http://schemas.openxmlformats.org/drawingml/2006/main" xmlns:pic="http://schemas.openxmlformats.org/drawingml/2006/picture">
            <wp:extent cx="6217920" cy="2573642"/>
            <wp:docPr id="29" name="Picture 29" descr="Upper and lower schedules have separate tabs; pressure is shared."/>
            <wp:cNvGraphicFramePr>
              <a:graphicFrameLocks noChangeAspect="1"/>
            </wp:cNvGraphicFramePr>
            <a:graphic>
              <a:graphicData uri="http://schemas.openxmlformats.org/drawingml/2006/picture">
                <pic:pic>
                  <pic:nvPicPr>
                    <pic:cNvPr id="0" name="2e1317e4d9227ab8250a4f9001f954569919ab19756b31f49db3855f2406db9d.png"/>
                    <pic:cNvPicPr/>
                  </pic:nvPicPr>
                  <pic:blipFill>
                    <a:blip r:embed="rId46"/>
                    <a:stretch>
                      <a:fillRect/>
                    </a:stretch>
                  </pic:blipFill>
                  <pic:spPr>
                    <a:xfrm>
                      <a:off x="0" y="0"/>
                      <a:ext cx="6217920" cy="2573642"/>
                    </a:xfrm>
                    <a:prstGeom prst="rect"/>
                  </pic:spPr>
                </pic:pic>
              </a:graphicData>
            </a:graphic>
          </wp:inline>
        </w:drawing>
      </w:r>
    </w:p>
    <w:p>
      <w:pPr>
        <w:pStyle w:val="Caption"/>
      </w:pPr>
      <w:r>
        <w:rPr>
          <w:b/>
          <w:i w:val="0"/>
        </w:rPr>
        <w:t xml:space="preserve">Steps </w:t>
      </w:r>
      <w:r>
        <w:rPr>
          <w:b/>
          <w:i w:val="0"/>
        </w:rPr>
        <w:t xml:space="preserve"> </w:t>
      </w:r>
      <w:r>
        <w:rPr>
          <w:b/>
          <w:i w:val="0"/>
        </w:rPr>
        <w:t>1</w:t>
      </w:r>
      <w:r>
        <w:rPr>
          <w:b/>
          <w:i w:val="0"/>
        </w:rPr>
        <w:t xml:space="preserve"> </w:t>
      </w:r>
      <w:r>
        <w:rPr>
          <w:b/>
          <w:i w:val="0"/>
        </w:rPr>
        <w:t xml:space="preserve"> · </w:t>
      </w:r>
      <w:r>
        <w:rPr>
          <w:b w:val="0"/>
          <w:i w:val="0"/>
        </w:rPr>
        <w:t>Upper and lower schedules have separate tabs; pressure is shared.</w:t>
      </w:r>
      <w:r>
        <w:rPr>
          <w:b w:val="0"/>
          <w:i w:val="0"/>
        </w:rPr>
        <w:t xml:space="preserve"> </w:t>
      </w:r>
      <w:r>
        <w:rPr>
          <w:b w:val="0"/>
          <w:i w:val="0"/>
        </w:rPr>
        <w:t xml:space="preserve"> </w:t>
      </w:r>
      <w:hyperlink r:id="rId47">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jc w:val="center"/>
      </w:pPr>
      <w:r>
        <w:drawing>
          <wp:inline xmlns:a="http://schemas.openxmlformats.org/drawingml/2006/main" xmlns:pic="http://schemas.openxmlformats.org/drawingml/2006/picture">
            <wp:extent cx="6217920" cy="4897347"/>
            <wp:docPr id="30" name="Picture 30" descr="Thermal case inputs expose initial temperature, output interval, through-thickness nodes and film coefficients."/>
            <wp:cNvGraphicFramePr>
              <a:graphicFrameLocks noChangeAspect="1"/>
            </wp:cNvGraphicFramePr>
            <a:graphic>
              <a:graphicData uri="http://schemas.openxmlformats.org/drawingml/2006/picture">
                <pic:pic>
                  <pic:nvPicPr>
                    <pic:cNvPr id="0" name="04e44f227ca8e06c4a70ec7bbc8e95de25adfb4dffda82420ed4d03a93a4a3df.png"/>
                    <pic:cNvPicPr/>
                  </pic:nvPicPr>
                  <pic:blipFill>
                    <a:blip r:embed="rId48"/>
                    <a:stretch>
                      <a:fillRect/>
                    </a:stretch>
                  </pic:blipFill>
                  <pic:spPr>
                    <a:xfrm>
                      <a:off x="0" y="0"/>
                      <a:ext cx="6217920" cy="4897347"/>
                    </a:xfrm>
                    <a:prstGeom prst="rect"/>
                  </pic:spPr>
                </pic:pic>
              </a:graphicData>
            </a:graphic>
          </wp:inline>
        </w:drawing>
      </w:r>
    </w:p>
    <w:p>
      <w:pPr>
        <w:pStyle w:val="Caption"/>
      </w:pPr>
      <w:r>
        <w:rPr>
          <w:b/>
          <w:i w:val="0"/>
        </w:rPr>
        <w:t xml:space="preserve">Steps </w:t>
      </w:r>
      <w:r>
        <w:rPr>
          <w:b/>
          <w:i w:val="0"/>
        </w:rPr>
        <w:t xml:space="preserve"> </w:t>
      </w:r>
      <w:r>
        <w:rPr>
          <w:b/>
          <w:i w:val="0"/>
        </w:rPr>
        <w:t>2</w:t>
      </w:r>
      <w:r>
        <w:rPr>
          <w:b/>
          <w:i w:val="0"/>
        </w:rPr>
        <w:t xml:space="preserve"> </w:t>
      </w:r>
      <w:r>
        <w:rPr>
          <w:b/>
          <w:i w:val="0"/>
        </w:rPr>
        <w:t xml:space="preserve"> · </w:t>
      </w:r>
      <w:r>
        <w:rPr>
          <w:b w:val="0"/>
          <w:i w:val="0"/>
        </w:rPr>
        <w:t>Thermal case inputs expose initial temperature, output interval, through-thickness nodes and film coefficients.</w:t>
      </w:r>
      <w:r>
        <w:rPr>
          <w:b w:val="0"/>
          <w:i w:val="0"/>
        </w:rPr>
        <w:t xml:space="preserve"> </w:t>
      </w:r>
      <w:r>
        <w:rPr>
          <w:b w:val="0"/>
          <w:i w:val="0"/>
        </w:rPr>
        <w:t xml:space="preserve"> </w:t>
      </w:r>
      <w:hyperlink r:id="rId49">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The field view is a one-dimensional through-thickness solution plotted against time. A colorful 2D history is not a two-dimensional spatial finite-element mesh.</w:t>
      </w:r>
    </w:p>
    <w:p>
      <w:pPr>
        <w:pStyle w:val="Heading2"/>
      </w:pPr>
      <w:r>
        <w:t>Compare preserve and reopen evidence</w:t>
      </w:r>
    </w:p>
    <w:p>
      <w:pPr/>
      <w:r>
        <w:rPr>
          <w:b w:val="0"/>
          <w:i w:val="0"/>
        </w:rPr>
        <w:t>Materials and saved optimization cases offer a comparison table and Ashby, bar and line plots. Axes, units, filtering, markers and bounds control what is shown; they do not change the source calculations.</w:t>
      </w:r>
    </w:p>
    <w:p>
      <w:pPr>
        <w:pStyle w:val="ListBullet"/>
      </w:pPr>
      <w:r>
        <w:rPr>
          <w:b w:val="0"/>
          <w:i w:val="0"/>
        </w:rPr>
        <w:t>Choose comparable properties and compatible units before comparing records.</w:t>
      </w:r>
    </w:p>
    <w:p>
      <w:pPr>
        <w:pStyle w:val="ListBullet"/>
      </w:pPr>
      <w:r>
        <w:rPr>
          <w:b w:val="0"/>
          <w:i w:val="0"/>
        </w:rPr>
        <w:t>Use plot bounds and axis locks deliberately; a locked axis can hide an out-of-range point.</w:t>
      </w:r>
    </w:p>
    <w:p>
      <w:pPr>
        <w:pStyle w:val="ListBullet"/>
      </w:pPr>
      <w:r>
        <w:rPr>
          <w:b w:val="0"/>
          <w:i w:val="0"/>
        </w:rPr>
        <w:t>Save a record, subtree or workspace as CDS_DB for portability. Keep the dependent material, model, laminate, geometry and case records.</w:t>
      </w:r>
    </w:p>
    <w:p>
      <w:pPr>
        <w:pStyle w:val="ListBullet"/>
      </w:pPr>
      <w:r>
        <w:rPr>
          <w:b w:val="0"/>
          <w:i w:val="0"/>
        </w:rPr>
        <w:t>Save optimization results with Save snapshot beside the structural-case selector. Open saved cases from the permanent Optimizations tree entry below Simulations.</w:t>
      </w:r>
    </w:p>
    <w:p>
      <w:pPr>
        <w:pStyle w:val="ListBullet"/>
      </w:pPr>
      <w:r>
        <w:rPr>
          <w:b w:val="0"/>
          <w:i w:val="0"/>
        </w:rPr>
        <w:t>Select multiple optimization snapshots to compare them. A saved case is read-only evidence of its saved inputs, not a fresh solve against current materials.</w:t>
      </w:r>
    </w:p>
    <w:p>
      <w:pPr>
        <w:keepNext/>
      </w:pPr>
      <w:r>
        <w:t>Good practice</w:t>
      </w:r>
    </w:p>
    <w:p>
      <w:pPr/>
      <w:r>
        <w:rPr>
          <w:b w:val="0"/>
          <w:i w:val="0"/>
        </w:rPr>
        <w:t>Saving an optimization snapshot, saving a material, and running a simulation are separate actions. Keep all required artifacts for a reproducible review.</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5" w:name="chapter_5"/>
      <w:pPr>
        <w:pStyle w:val="Heading1"/>
        <w:pageBreakBefore/>
      </w:pPr>
      <w:r>
        <w:t>5 Create and manage material records</w:t>
      </w:r>
      <w:bookmarkEnd w:id="5"/>
    </w:p>
    <w:p>
      <w:pPr>
        <w:pStyle w:val="Caption"/>
      </w:pPr>
      <w:hyperlink r:id="rId50">
        <w:r>
          <w:rPr>
            <w:color w:val="176EA4"/>
          </w:rPr>
          <w:t>Online chapter</w:t>
        </w:r>
      </w:hyperlink>
      <w:r>
        <w:t xml:space="preserve"> </w:t>
      </w:r>
    </w:p>
    <w:p>
      <w:pPr/>
      <w:r>
        <w:rPr>
          <w:b w:val="0"/>
          <w:i w:val="0"/>
        </w:rPr>
        <w:t>A practical guide to adding, editing, organizing, duplicating, and safely deleting materials.</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hyperlink r:id="rId14">
        <w:r>
          <w:rPr>
            <w:color w:val="176EA4"/>
          </w:rPr>
          <w:t>All exercises, case studies and simulation examples →</w:t>
        </w:r>
      </w:hyperlink>
      <w:r>
        <w:t xml:space="preserve"> </w:t>
      </w:r>
      <w:r>
        <w:rPr>
          <w:b w:val="0"/>
          <w:i w:val="0"/>
        </w:rPr>
        <w:t xml:space="preserve"> · </w:t>
      </w:r>
      <w:hyperlink r:id="rId12">
        <w:r>
          <w:rPr>
            <w:color w:val="176EA4"/>
          </w:rPr>
          <w:t>Your CDS library: overview, manuals and database downloads →</w:t>
        </w:r>
      </w:hyperlink>
      <w:r>
        <w:t xml:space="preserve"> </w:t>
      </w:r>
    </w:p>
    <w:p>
      <w:pPr>
        <w:pStyle w:val="Heading2"/>
      </w:pPr>
      <w:r>
        <w:t>Research and import materials with ChatGPT</w:t>
      </w:r>
    </w:p>
    <w:p>
      <w:pPr/>
      <w:r>
        <w:rPr>
          <w:b w:val="0"/>
          <w:i w:val="0"/>
        </w:rPr>
        <w:t>In Workbench, choose Material → Find / Import with AI. This is a local review workflow, not an automatic web-search or PDF-extraction service inside CDS.</w:t>
      </w:r>
    </w:p>
    <w:p>
      <w:pPr>
        <w:pStyle w:val="ListBullet"/>
      </w:pPr>
      <w:r>
        <w:rPr>
          <w:b w:val="0"/>
          <w:i w:val="0"/>
        </w:rPr>
        <w:t>Enter the grades or properties you need and copy the research prompt. Paste it into ChatGPT, using manufacturer datasheets or primary publications. Attach private documents there only if you intend to share them with that service.</w:t>
      </w:r>
    </w:p>
    <w:p>
      <w:pPr>
        <w:pStyle w:val="ListBullet"/>
      </w:pPr>
      <w:r>
        <w:rPr>
          <w:b w:val="0"/>
          <w:i w:val="0"/>
        </w:rPr>
        <w:t>Download the JSON template if needed. Bring the structured JSON response back to Workbench through Choose research JSON or paste it and select Load JSON for review.</w:t>
      </w:r>
    </w:p>
    <w:p>
      <w:pPr>
        <w:pStyle w:val="ListBullet"/>
      </w:pPr>
      <w:r>
        <w:rPr>
          <w:b w:val="0"/>
          <w:i w:val="0"/>
        </w:rPr>
        <w:t>Optionally attach up to three local PDF, PNG or JPEG datasheets for comparison. They are not uploaded or automatically extracted. A manual review card is available for direct entry.</w:t>
      </w:r>
    </w:p>
    <w:p>
      <w:pPr>
        <w:pStyle w:val="ListBullet"/>
      </w:pPr>
      <w:r>
        <w:rPr>
          <w:b w:val="0"/>
          <w:i w:val="0"/>
        </w:rPr>
        <w:t>Review material identity, constitutive symmetry, original and converted units, each source document and page/table, and test conditions. Correct or deselect unsupported values. Keep different temperatures, cure states and product forms in separate records.</w:t>
      </w:r>
    </w:p>
    <w:p>
      <w:pPr>
        <w:pStyle w:val="ListBullet"/>
      </w:pPr>
      <w:r>
        <w:rPr>
          <w:b w:val="0"/>
          <w:i w:val="0"/>
        </w:rPr>
        <w:t>Select the properties you verified. Conflicting values require choosing one per property. Unknown values are not converted to zero; estimated values require explicit opt-in.</w:t>
      </w:r>
    </w:p>
    <w:p>
      <w:pPr>
        <w:pStyle w:val="ListBullet"/>
      </w:pPr>
      <w:r>
        <w:rPr>
          <w:b w:val="0"/>
          <w:i w:val="0"/>
        </w:rPr>
        <w:t>Choose an existing material folder or create an import class. Confirm the review acknowledgement, then import new records. Existing materials are never overwritten.</w:t>
      </w:r>
    </w:p>
    <w:p>
      <w:pPr>
        <w:pStyle w:val="ListBullet"/>
      </w:pPr>
      <w:r>
        <w:rPr>
          <w:b w:val="0"/>
          <w:i w:val="0"/>
        </w:rPr>
        <w:t>Expand Imported property evidence in the material source panel to review original values and references. Later edits are marked as changed relative to the import snapshot. Save the workspace as CDS_DB to retain the new records.</w:t>
      </w:r>
    </w:p>
    <w:p>
      <w:pPr>
        <w:keepNext/>
      </w:pPr>
      <w:r>
        <w:t>Good practice</w:t>
      </w:r>
    </w:p>
    <w:p>
      <w:pPr/>
      <w:r>
        <w:rPr>
          <w:b w:val="0"/>
          <w:i w:val="0"/>
        </w:rPr>
        <w:t>AI research and format validation do not establish qualified design allowables. Check every source before engineering use. Download a review draft before leaving if review is incomplete. Source files are not embedded in CDS_DB: retain originals separately; the import stores their filenames and SHA-256 fingerprints.</w:t>
      </w:r>
    </w:p>
    <w:p>
      <w:pPr>
        <w:pStyle w:val="Heading2"/>
      </w:pPr>
      <w:r>
        <w:t>Add materials</w:t>
      </w:r>
    </w:p>
    <w:p>
      <w:pPr/>
      <w:r>
        <w:rPr>
          <w:b w:val="0"/>
          <w:i w:val="0"/>
        </w:rPr>
        <w:t>Right-click Materials or an allowed material folder and choose Create. Enter a clear title and select the material class so the record appears in the correct virtual folder.</w:t>
      </w:r>
    </w:p>
    <w:p>
      <w:pPr>
        <w:pStyle w:val="ListBullet"/>
      </w:pPr>
      <w:r>
        <w:rPr>
          <w:b w:val="0"/>
          <w:i w:val="0"/>
        </w:rPr>
        <w:t>Choose Fiber, Polymer, Metal, Elastomer, or Core &amp; Filler.</w:t>
      </w:r>
    </w:p>
    <w:p>
      <w:pPr>
        <w:pStyle w:val="ListBullet"/>
      </w:pPr>
      <w:r>
        <w:rPr>
          <w:b w:val="0"/>
          <w:i w:val="0"/>
        </w:rPr>
        <w:t>Enter source and identification details.</w:t>
      </w:r>
      <w:r>
        <w:rPr>
          <w:b w:val="0"/>
          <w:i w:val="0"/>
        </w:rPr>
        <w:t xml:space="preserve"> </w:t>
      </w:r>
      <w:r>
        <w:rPr>
          <w:b w:val="0"/>
          <w:i w:val="0"/>
        </w:rPr>
        <w:t xml:space="preserve"> </w:t>
      </w:r>
      <w:hyperlink r:id="rId51">
        <w:r>
          <w:rPr>
            <w:color w:val="176EA4"/>
          </w:rPr>
          <w:t>See screenshot</w:t>
        </w:r>
      </w:hyperlink>
      <w:r>
        <w:t xml:space="preserve"> </w:t>
      </w:r>
    </w:p>
    <w:p>
      <w:pPr>
        <w:pStyle w:val="ListBullet"/>
      </w:pPr>
      <w:r>
        <w:rPr>
          <w:b w:val="0"/>
          <w:i w:val="0"/>
        </w:rPr>
        <w:t>Populate the applicable property groups.</w:t>
      </w:r>
      <w:r>
        <w:rPr>
          <w:b w:val="0"/>
          <w:i w:val="0"/>
        </w:rPr>
        <w:t xml:space="preserve"> </w:t>
      </w:r>
      <w:r>
        <w:rPr>
          <w:b w:val="0"/>
          <w:i w:val="0"/>
        </w:rPr>
        <w:t xml:space="preserve"> </w:t>
      </w:r>
      <w:hyperlink r:id="rId51">
        <w:r>
          <w:rPr>
            <w:color w:val="176EA4"/>
          </w:rPr>
          <w:t>See screenshot</w:t>
        </w:r>
      </w:hyperlink>
      <w:r>
        <w:t xml:space="preserve"> </w:t>
      </w:r>
    </w:p>
    <w:p>
      <w:pPr>
        <w:pStyle w:val="ListBullet"/>
      </w:pPr>
      <w:r>
        <w:rPr>
          <w:b w:val="0"/>
          <w:i w:val="0"/>
        </w:rPr>
        <w:t>Save the new record and verify its folder classification.</w:t>
      </w:r>
      <w:r>
        <w:rPr>
          <w:b w:val="0"/>
          <w:i w:val="0"/>
        </w:rPr>
        <w:t xml:space="preserve"> </w:t>
      </w:r>
      <w:r>
        <w:rPr>
          <w:b w:val="0"/>
          <w:i w:val="0"/>
        </w:rPr>
        <w:t xml:space="preserve"> </w:t>
      </w:r>
      <w:hyperlink r:id="rId51">
        <w:r>
          <w:rPr>
            <w:color w:val="176EA4"/>
          </w:rPr>
          <w:t>See screenshot</w:t>
        </w:r>
      </w:hyperlink>
      <w:r>
        <w:t xml:space="preserve"> </w:t>
      </w:r>
    </w:p>
    <w:p>
      <w:pPr>
        <w:keepNext w:val="0"/>
        <w:jc w:val="center"/>
      </w:pPr>
      <w:r>
        <w:drawing>
          <wp:inline xmlns:a="http://schemas.openxmlformats.org/drawingml/2006/main" xmlns:pic="http://schemas.openxmlformats.org/drawingml/2006/picture">
            <wp:extent cx="6217920" cy="2662460"/>
            <wp:docPr id="31" name="Picture 31" descr="Right-click Materials to create a material family or an unfiled material."/>
            <wp:cNvGraphicFramePr>
              <a:graphicFrameLocks noChangeAspect="1"/>
            </wp:cNvGraphicFramePr>
            <a:graphic>
              <a:graphicData uri="http://schemas.openxmlformats.org/drawingml/2006/picture">
                <pic:pic>
                  <pic:nvPicPr>
                    <pic:cNvPr id="0" name="b7a3cd037863316cac071fe23b22518beccc72a56c9a6ba6f05dc7ea1f879be6.png"/>
                    <pic:cNvPicPr/>
                  </pic:nvPicPr>
                  <pic:blipFill>
                    <a:blip r:embed="rId52"/>
                    <a:stretch>
                      <a:fillRect/>
                    </a:stretch>
                  </pic:blipFill>
                  <pic:spPr>
                    <a:xfrm>
                      <a:off x="0" y="0"/>
                      <a:ext cx="6217920" cy="2662460"/>
                    </a:xfrm>
                    <a:prstGeom prst="rect"/>
                  </pic:spPr>
                </pic:pic>
              </a:graphicData>
            </a:graphic>
          </wp:inline>
        </w:drawing>
      </w:r>
    </w:p>
    <w:p>
      <w:pPr>
        <w:pStyle w:val="Caption"/>
      </w:pPr>
      <w:r>
        <w:rPr>
          <w:b w:val="0"/>
          <w:i w:val="0"/>
        </w:rPr>
        <w:t>Right-click Materials to create a material family or an unfiled material.</w:t>
      </w:r>
      <w:r>
        <w:rPr>
          <w:b w:val="0"/>
          <w:i w:val="0"/>
        </w:rPr>
        <w:t xml:space="preserve"> </w:t>
      </w:r>
      <w:r>
        <w:rPr>
          <w:b w:val="0"/>
          <w:i w:val="0"/>
        </w:rPr>
        <w:t xml:space="preserve"> </w:t>
      </w:r>
      <w:hyperlink r:id="rId53">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jc w:val="center"/>
      </w:pPr>
      <w:r>
        <w:drawing>
          <wp:inline xmlns:a="http://schemas.openxmlformats.org/drawingml/2006/main" xmlns:pic="http://schemas.openxmlformats.org/drawingml/2006/picture">
            <wp:extent cx="6217920" cy="4304354"/>
            <wp:docPr id="32" name="Picture 32" descr="The material editor shows source provenance, property groups, units, locks and Save."/>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15"/>
                    <a:stretch>
                      <a:fillRect/>
                    </a:stretch>
                  </pic:blipFill>
                  <pic:spPr>
                    <a:xfrm>
                      <a:off x="0" y="0"/>
                      <a:ext cx="6217920" cy="4304354"/>
                    </a:xfrm>
                    <a:prstGeom prst="rect"/>
                  </pic:spPr>
                </pic:pic>
              </a:graphicData>
            </a:graphic>
          </wp:inline>
        </w:drawing>
      </w:r>
    </w:p>
    <w:p>
      <w:pPr>
        <w:pStyle w:val="Caption"/>
      </w:pPr>
      <w:r>
        <w:rPr>
          <w:b/>
          <w:i w:val="0"/>
        </w:rPr>
        <w:t xml:space="preserve">Steps </w:t>
      </w:r>
      <w:r>
        <w:rPr>
          <w:b/>
          <w:i w:val="0"/>
        </w:rPr>
        <w:t xml:space="preserve"> </w:t>
      </w:r>
      <w:r>
        <w:rPr>
          <w:b/>
          <w:i w:val="0"/>
        </w:rPr>
        <w:t>2, 3, 4</w:t>
      </w:r>
      <w:r>
        <w:rPr>
          <w:b/>
          <w:i w:val="0"/>
        </w:rPr>
        <w:t xml:space="preserve"> </w:t>
      </w:r>
      <w:r>
        <w:rPr>
          <w:b/>
          <w:i w:val="0"/>
        </w:rPr>
        <w:t xml:space="preserve"> · </w:t>
      </w:r>
      <w:r>
        <w:rPr>
          <w:b w:val="0"/>
          <w:i w:val="0"/>
        </w:rPr>
        <w:t>The material editor shows source provenance, property groups, units, locks and Save.</w:t>
      </w:r>
      <w:r>
        <w:rPr>
          <w:b w:val="0"/>
          <w:i w:val="0"/>
        </w:rPr>
        <w:t xml:space="preserve"> </w:t>
      </w:r>
      <w:r>
        <w:rPr>
          <w:b w:val="0"/>
          <w:i w:val="0"/>
        </w:rPr>
        <w:t xml:space="preserve"> </w:t>
      </w:r>
      <w:hyperlink r:id="rId1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Base material folders are protected. Create records inside them; do not try to replace the folders.</w:t>
      </w:r>
    </w:p>
    <w:p>
      <w:pPr>
        <w:pStyle w:val="Heading2"/>
      </w:pPr>
      <w:r>
        <w:t>Edit property values</w:t>
      </w:r>
    </w:p>
    <w:p>
      <w:pPr/>
      <w:r>
        <w:rPr>
          <w:b w:val="0"/>
          <w:i w:val="0"/>
        </w:rPr>
        <w:t>The material editor uses compact rows for variable ID, descriptor, value, units, and lock state. Hover over truncated descriptors for the full meaning.</w:t>
      </w:r>
    </w:p>
    <w:p>
      <w:pPr>
        <w:pStyle w:val="ListBullet"/>
      </w:pPr>
      <w:r>
        <w:rPr>
          <w:b w:val="0"/>
          <w:i w:val="0"/>
        </w:rPr>
        <w:t>Click the lock to enable editing.</w:t>
      </w:r>
      <w:r>
        <w:rPr>
          <w:b w:val="0"/>
          <w:i w:val="0"/>
        </w:rPr>
        <w:t xml:space="preserve"> </w:t>
      </w:r>
      <w:r>
        <w:rPr>
          <w:b w:val="0"/>
          <w:i w:val="0"/>
        </w:rPr>
        <w:t xml:space="preserve"> </w:t>
      </w:r>
      <w:hyperlink r:id="rId54">
        <w:r>
          <w:rPr>
            <w:color w:val="176EA4"/>
          </w:rPr>
          <w:t>See screenshot</w:t>
        </w:r>
      </w:hyperlink>
      <w:r>
        <w:t xml:space="preserve"> </w:t>
      </w:r>
    </w:p>
    <w:p>
      <w:pPr>
        <w:pStyle w:val="ListBullet"/>
      </w:pPr>
      <w:r>
        <w:rPr>
          <w:b w:val="0"/>
          <w:i w:val="0"/>
        </w:rPr>
        <w:t>Enter numeric values only in numeric fields.</w:t>
      </w:r>
      <w:r>
        <w:rPr>
          <w:b w:val="0"/>
          <w:i w:val="0"/>
        </w:rPr>
        <w:t xml:space="preserve"> </w:t>
      </w:r>
      <w:r>
        <w:rPr>
          <w:b w:val="0"/>
          <w:i w:val="0"/>
        </w:rPr>
        <w:t xml:space="preserve"> </w:t>
      </w:r>
      <w:hyperlink r:id="rId54">
        <w:r>
          <w:rPr>
            <w:color w:val="176EA4"/>
          </w:rPr>
          <w:t>See screenshot</w:t>
        </w:r>
      </w:hyperlink>
      <w:r>
        <w:t xml:space="preserve"> </w:t>
      </w:r>
    </w:p>
    <w:p>
      <w:pPr>
        <w:pStyle w:val="ListBullet"/>
      </w:pPr>
      <w:r>
        <w:rPr>
          <w:b w:val="0"/>
          <w:i w:val="0"/>
        </w:rPr>
        <w:t>Confirm units before leaving the row.</w:t>
      </w:r>
      <w:r>
        <w:rPr>
          <w:b w:val="0"/>
          <w:i w:val="0"/>
        </w:rPr>
        <w:t xml:space="preserve"> </w:t>
      </w:r>
      <w:r>
        <w:rPr>
          <w:b w:val="0"/>
          <w:i w:val="0"/>
        </w:rPr>
        <w:t xml:space="preserve"> </w:t>
      </w:r>
      <w:hyperlink r:id="rId54">
        <w:r>
          <w:rPr>
            <w:color w:val="176EA4"/>
          </w:rPr>
          <w:t>See screenshot</w:t>
        </w:r>
      </w:hyperlink>
      <w:r>
        <w:t xml:space="preserve"> </w:t>
      </w:r>
    </w:p>
    <w:p>
      <w:pPr>
        <w:pStyle w:val="ListBullet"/>
      </w:pPr>
      <w:r>
        <w:rPr>
          <w:b w:val="0"/>
          <w:i w:val="0"/>
        </w:rPr>
        <w:t>Use the value slider for bounded adjustments.</w:t>
      </w:r>
      <w:r>
        <w:rPr>
          <w:b w:val="0"/>
          <w:i w:val="0"/>
        </w:rPr>
        <w:t xml:space="preserve"> </w:t>
      </w:r>
      <w:r>
        <w:rPr>
          <w:b w:val="0"/>
          <w:i w:val="0"/>
        </w:rPr>
        <w:t xml:space="preserve"> </w:t>
      </w:r>
      <w:hyperlink r:id="rId54">
        <w:r>
          <w:rPr>
            <w:color w:val="176EA4"/>
          </w:rPr>
          <w:t>See screenshot</w:t>
        </w:r>
      </w:hyperlink>
      <w:r>
        <w:t xml:space="preserve"> </w:t>
      </w:r>
    </w:p>
    <w:p>
      <w:pPr>
        <w:pStyle w:val="ListBullet"/>
      </w:pPr>
      <w:r>
        <w:rPr>
          <w:b w:val="0"/>
          <w:i w:val="0"/>
        </w:rPr>
        <w:t>Right-click a value to set lower bound, upper bound, default, and increment jump.</w:t>
      </w:r>
    </w:p>
    <w:p>
      <w:pPr>
        <w:keepNext/>
        <w:jc w:val="center"/>
      </w:pPr>
      <w:r>
        <w:drawing>
          <wp:inline xmlns:a="http://schemas.openxmlformats.org/drawingml/2006/main" xmlns:pic="http://schemas.openxmlformats.org/drawingml/2006/picture">
            <wp:extent cx="6217920" cy="4304354"/>
            <wp:docPr id="33" name="Picture 33" descr="Use the lock column, numeric values and units in the property table. Show zero terms reveals additional stored inputs."/>
            <wp:cNvGraphicFramePr>
              <a:graphicFrameLocks noChangeAspect="1"/>
            </wp:cNvGraphicFramePr>
            <a:graphic>
              <a:graphicData uri="http://schemas.openxmlformats.org/drawingml/2006/picture">
                <pic:pic>
                  <pic:nvPicPr>
                    <pic:cNvPr id="0" name="1b6abe72dcfa3e9470aa839f2670d32b060af683bca41d60b239765cfb23b520.png"/>
                    <pic:cNvPicPr/>
                  </pic:nvPicPr>
                  <pic:blipFill>
                    <a:blip r:embed="rId15"/>
                    <a:stretch>
                      <a:fillRect/>
                    </a:stretch>
                  </pic:blipFill>
                  <pic:spPr>
                    <a:xfrm>
                      <a:off x="0" y="0"/>
                      <a:ext cx="6217920" cy="4304354"/>
                    </a:xfrm>
                    <a:prstGeom prst="rect"/>
                  </pic:spPr>
                </pic:pic>
              </a:graphicData>
            </a:graphic>
          </wp:inline>
        </w:drawing>
      </w:r>
    </w:p>
    <w:p>
      <w:pPr>
        <w:pStyle w:val="Caption"/>
      </w:pPr>
      <w:r>
        <w:rPr>
          <w:b/>
          <w:i w:val="0"/>
        </w:rPr>
        <w:t xml:space="preserve">Steps </w:t>
      </w:r>
      <w:r>
        <w:rPr>
          <w:b/>
          <w:i w:val="0"/>
        </w:rPr>
        <w:t xml:space="preserve"> </w:t>
      </w:r>
      <w:r>
        <w:rPr>
          <w:b/>
          <w:i w:val="0"/>
        </w:rPr>
        <w:t>1, 2, 3, 4</w:t>
      </w:r>
      <w:r>
        <w:rPr>
          <w:b/>
          <w:i w:val="0"/>
        </w:rPr>
        <w:t xml:space="preserve"> </w:t>
      </w:r>
      <w:r>
        <w:rPr>
          <w:b/>
          <w:i w:val="0"/>
        </w:rPr>
        <w:t xml:space="preserve"> · </w:t>
      </w:r>
      <w:r>
        <w:rPr>
          <w:b w:val="0"/>
          <w:i w:val="0"/>
        </w:rPr>
        <w:t>Use the lock column, numeric values and units in the property table. Show zero terms reveals additional stored inputs.</w:t>
      </w:r>
      <w:r>
        <w:rPr>
          <w:b w:val="0"/>
          <w:i w:val="0"/>
        </w:rPr>
        <w:t xml:space="preserve"> </w:t>
      </w:r>
      <w:r>
        <w:rPr>
          <w:b w:val="0"/>
          <w:i w:val="0"/>
        </w:rPr>
        <w:t xml:space="preserve"> </w:t>
      </w:r>
      <w:hyperlink r:id="rId16">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Bounds and increments will later support optimization and parametric studies, so choose physically defensible values.</w:t>
      </w:r>
    </w:p>
    <w:p>
      <w:pPr>
        <w:pStyle w:val="Heading2"/>
      </w:pPr>
      <w:r>
        <w:t>Move and organize materials</w:t>
      </w:r>
    </w:p>
    <w:p>
      <w:pPr/>
      <w:r>
        <w:rPr>
          <w:b w:val="0"/>
          <w:i w:val="0"/>
        </w:rPr>
        <w:t>Create virtual folders to match suppliers, programs, material families, or qualification status. Moving a material changes its working classification for later selection filters.</w:t>
      </w:r>
    </w:p>
    <w:p>
      <w:pPr>
        <w:pStyle w:val="ListBullet"/>
      </w:pPr>
      <w:r>
        <w:rPr>
          <w:b w:val="0"/>
          <w:i w:val="0"/>
        </w:rPr>
        <w:t>Create a virtual folder under Materials.</w:t>
      </w:r>
      <w:r>
        <w:rPr>
          <w:b w:val="0"/>
          <w:i w:val="0"/>
        </w:rPr>
        <w:t xml:space="preserve"> </w:t>
      </w:r>
      <w:r>
        <w:rPr>
          <w:b w:val="0"/>
          <w:i w:val="0"/>
        </w:rPr>
        <w:t xml:space="preserve"> </w:t>
      </w:r>
      <w:hyperlink r:id="rId55">
        <w:r>
          <w:rPr>
            <w:color w:val="176EA4"/>
          </w:rPr>
          <w:t>See screenshot</w:t>
        </w:r>
      </w:hyperlink>
      <w:r>
        <w:t xml:space="preserve"> </w:t>
      </w:r>
    </w:p>
    <w:p>
      <w:pPr>
        <w:pStyle w:val="ListBullet"/>
      </w:pPr>
      <w:r>
        <w:rPr>
          <w:b w:val="0"/>
          <w:i w:val="0"/>
        </w:rPr>
        <w:t>Right-click a record and choose Move to folder.</w:t>
      </w:r>
    </w:p>
    <w:p>
      <w:pPr>
        <w:pStyle w:val="ListBullet"/>
      </w:pPr>
      <w:r>
        <w:rPr>
          <w:b w:val="0"/>
          <w:i w:val="0"/>
        </w:rPr>
        <w:t>Confirm the destination.</w:t>
      </w:r>
    </w:p>
    <w:p>
      <w:pPr>
        <w:pStyle w:val="ListBullet"/>
      </w:pPr>
      <w:r>
        <w:rPr>
          <w:b w:val="0"/>
          <w:i w:val="0"/>
        </w:rPr>
        <w:t>Use the material-folder filter to verify the new organization.</w:t>
      </w:r>
    </w:p>
    <w:p>
      <w:pPr>
        <w:keepNext/>
        <w:jc w:val="center"/>
      </w:pPr>
      <w:r>
        <w:drawing>
          <wp:inline xmlns:a="http://schemas.openxmlformats.org/drawingml/2006/main" xmlns:pic="http://schemas.openxmlformats.org/drawingml/2006/picture">
            <wp:extent cx="6217920" cy="2662460"/>
            <wp:docPr id="34" name="Picture 34" descr="Create a material family from the Materials context menu before organizing records into it."/>
            <wp:cNvGraphicFramePr>
              <a:graphicFrameLocks noChangeAspect="1"/>
            </wp:cNvGraphicFramePr>
            <a:graphic>
              <a:graphicData uri="http://schemas.openxmlformats.org/drawingml/2006/picture">
                <pic:pic>
                  <pic:nvPicPr>
                    <pic:cNvPr id="0" name="b7a3cd037863316cac071fe23b22518beccc72a56c9a6ba6f05dc7ea1f879be6.png"/>
                    <pic:cNvPicPr/>
                  </pic:nvPicPr>
                  <pic:blipFill>
                    <a:blip r:embed="rId52"/>
                    <a:stretch>
                      <a:fillRect/>
                    </a:stretch>
                  </pic:blipFill>
                  <pic:spPr>
                    <a:xfrm>
                      <a:off x="0" y="0"/>
                      <a:ext cx="6217920" cy="2662460"/>
                    </a:xfrm>
                    <a:prstGeom prst="rect"/>
                  </pic:spPr>
                </pic:pic>
              </a:graphicData>
            </a:graphic>
          </wp:inline>
        </w:drawing>
      </w:r>
    </w:p>
    <w:p>
      <w:pPr>
        <w:pStyle w:val="Caption"/>
      </w:pPr>
      <w:r>
        <w:rPr>
          <w:b/>
          <w:i w:val="0"/>
        </w:rPr>
        <w:t xml:space="preserve">Steps </w:t>
      </w:r>
      <w:r>
        <w:rPr>
          <w:b/>
          <w:i w:val="0"/>
        </w:rPr>
        <w:t xml:space="preserve"> </w:t>
      </w:r>
      <w:r>
        <w:rPr>
          <w:b/>
          <w:i w:val="0"/>
        </w:rPr>
        <w:t>1</w:t>
      </w:r>
      <w:r>
        <w:rPr>
          <w:b/>
          <w:i w:val="0"/>
        </w:rPr>
        <w:t xml:space="preserve"> </w:t>
      </w:r>
      <w:r>
        <w:rPr>
          <w:b/>
          <w:i w:val="0"/>
        </w:rPr>
        <w:t xml:space="preserve"> · </w:t>
      </w:r>
      <w:r>
        <w:rPr>
          <w:b w:val="0"/>
          <w:i w:val="0"/>
        </w:rPr>
        <w:t>Create a material family from the Materials context menu before organizing records into it.</w:t>
      </w:r>
      <w:r>
        <w:rPr>
          <w:b w:val="0"/>
          <w:i w:val="0"/>
        </w:rPr>
        <w:t xml:space="preserve"> </w:t>
      </w:r>
      <w:r>
        <w:rPr>
          <w:b w:val="0"/>
          <w:i w:val="0"/>
        </w:rPr>
        <w:t xml:space="preserve"> </w:t>
      </w:r>
      <w:hyperlink r:id="rId53">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pStyle w:val="Heading2"/>
      </w:pPr>
      <w:r>
        <w:t>Duplicate and delete records</w:t>
      </w:r>
    </w:p>
    <w:p>
      <w:pPr/>
      <w:r>
        <w:rPr>
          <w:b w:val="0"/>
          <w:i w:val="0"/>
        </w:rPr>
        <w:t>Duplicate is the safest starting point for a related material. Delete removes an eligible user record only after dependency review.</w:t>
      </w:r>
    </w:p>
    <w:p>
      <w:pPr>
        <w:pStyle w:val="ListBullet"/>
      </w:pPr>
      <w:r>
        <w:rPr>
          <w:b w:val="0"/>
          <w:i w:val="0"/>
        </w:rPr>
        <w:t>Right-click the record.</w:t>
      </w:r>
      <w:r>
        <w:rPr>
          <w:b w:val="0"/>
          <w:i w:val="0"/>
        </w:rPr>
        <w:t xml:space="preserve"> </w:t>
      </w:r>
      <w:r>
        <w:rPr>
          <w:b w:val="0"/>
          <w:i w:val="0"/>
        </w:rPr>
        <w:t xml:space="preserve"> </w:t>
      </w:r>
      <w:hyperlink r:id="rId56">
        <w:r>
          <w:rPr>
            <w:color w:val="176EA4"/>
          </w:rPr>
          <w:t>See screenshot</w:t>
        </w:r>
      </w:hyperlink>
      <w:r>
        <w:t xml:space="preserve"> </w:t>
      </w:r>
    </w:p>
    <w:p>
      <w:pPr>
        <w:pStyle w:val="ListBullet"/>
      </w:pPr>
      <w:r>
        <w:rPr>
          <w:b w:val="0"/>
          <w:i w:val="0"/>
        </w:rPr>
        <w:t>Choose Duplicate and immediately rename the copy.</w:t>
      </w:r>
      <w:r>
        <w:rPr>
          <w:b w:val="0"/>
          <w:i w:val="0"/>
        </w:rPr>
        <w:t xml:space="preserve"> </w:t>
      </w:r>
      <w:r>
        <w:rPr>
          <w:b w:val="0"/>
          <w:i w:val="0"/>
        </w:rPr>
        <w:t xml:space="preserve"> </w:t>
      </w:r>
      <w:hyperlink r:id="rId56">
        <w:r>
          <w:rPr>
            <w:color w:val="176EA4"/>
          </w:rPr>
          <w:t>See screenshot</w:t>
        </w:r>
      </w:hyperlink>
      <w:r>
        <w:t xml:space="preserve"> </w:t>
      </w:r>
    </w:p>
    <w:p>
      <w:pPr>
        <w:pStyle w:val="ListBullet"/>
      </w:pPr>
      <w:r>
        <w:rPr>
          <w:b w:val="0"/>
          <w:i w:val="0"/>
        </w:rPr>
        <w:t>For deletion, review every downstream lamina, laminate, or simulation dependency shown in the warning.</w:t>
      </w:r>
    </w:p>
    <w:p>
      <w:pPr>
        <w:pStyle w:val="ListBullet"/>
      </w:pPr>
      <w:r>
        <w:rPr>
          <w:b w:val="0"/>
          <w:i w:val="0"/>
        </w:rPr>
        <w:t>Cancel if the record is still required; otherwise confirm deletion.</w:t>
      </w:r>
    </w:p>
    <w:p>
      <w:pPr>
        <w:keepNext/>
        <w:jc w:val="center"/>
      </w:pPr>
      <w:r>
        <w:drawing>
          <wp:inline xmlns:a="http://schemas.openxmlformats.org/drawingml/2006/main" xmlns:pic="http://schemas.openxmlformats.org/drawingml/2006/picture">
            <wp:extent cx="6217920" cy="5545711"/>
            <wp:docPr id="35" name="Picture 35" descr="Right-click the exact material to find Duplicate, Move and Delete. Opening this menu does not alter the record; review dependencies before confirming deletion."/>
            <wp:cNvGraphicFramePr>
              <a:graphicFrameLocks noChangeAspect="1"/>
            </wp:cNvGraphicFramePr>
            <a:graphic>
              <a:graphicData uri="http://schemas.openxmlformats.org/drawingml/2006/picture">
                <pic:pic>
                  <pic:nvPicPr>
                    <pic:cNvPr id="0" name="b91d230f0a73048d57b704049bcf17c3d04bd0f9cda647340b93d06d9a8718d7.png"/>
                    <pic:cNvPicPr/>
                  </pic:nvPicPr>
                  <pic:blipFill>
                    <a:blip r:embed="rId24"/>
                    <a:stretch>
                      <a:fillRect/>
                    </a:stretch>
                  </pic:blipFill>
                  <pic:spPr>
                    <a:xfrm>
                      <a:off x="0" y="0"/>
                      <a:ext cx="6217920" cy="5545711"/>
                    </a:xfrm>
                    <a:prstGeom prst="rect"/>
                  </pic:spPr>
                </pic:pic>
              </a:graphicData>
            </a:graphic>
          </wp:inline>
        </w:drawing>
      </w:r>
    </w:p>
    <w:p>
      <w:pPr>
        <w:pStyle w:val="Caption"/>
      </w:pPr>
      <w:r>
        <w:rPr>
          <w:b/>
          <w:i w:val="0"/>
        </w:rPr>
        <w:t xml:space="preserve">Steps </w:t>
      </w:r>
      <w:r>
        <w:rPr>
          <w:b/>
          <w:i w:val="0"/>
        </w:rPr>
        <w:t xml:space="preserve"> </w:t>
      </w:r>
      <w:r>
        <w:rPr>
          <w:b/>
          <w:i w:val="0"/>
        </w:rPr>
        <w:t>1, 2</w:t>
      </w:r>
      <w:r>
        <w:rPr>
          <w:b/>
          <w:i w:val="0"/>
        </w:rPr>
        <w:t xml:space="preserve"> </w:t>
      </w:r>
      <w:r>
        <w:rPr>
          <w:b/>
          <w:i w:val="0"/>
        </w:rPr>
        <w:t xml:space="preserve"> · </w:t>
      </w:r>
      <w:r>
        <w:rPr>
          <w:b w:val="0"/>
          <w:i w:val="0"/>
        </w:rPr>
        <w:t>Right-click the exact material to find Duplicate, Move and Delete. Opening this menu does not alter the record; review dependencies before confirming deletion.</w:t>
      </w:r>
      <w:r>
        <w:rPr>
          <w:b w:val="0"/>
          <w:i w:val="0"/>
        </w:rPr>
        <w:t xml:space="preserve"> </w:t>
      </w:r>
      <w:r>
        <w:rPr>
          <w:b w:val="0"/>
          <w:i w:val="0"/>
        </w:rPr>
        <w:t xml:space="preserve"> </w:t>
      </w:r>
      <w:hyperlink r:id="rId25">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Protected base folders and critical system records cannot be deleted.</w:t>
      </w:r>
    </w:p>
    <w:p>
      <w:pPr>
        <w:pStyle w:val="Heading2"/>
      </w:pPr>
      <w:r>
        <w:t>Use right-click options</w:t>
      </w:r>
    </w:p>
    <w:p>
      <w:pPr/>
      <w:r>
        <w:rPr>
          <w:b w:val="0"/>
          <w:i w:val="0"/>
        </w:rPr>
        <w:t>Context menus provide the same record actions available through Project Manager: create, duplicate, rename, move, save, export, and delete. Parent-level actions apply to the selected subtree where supported.</w:t>
      </w:r>
    </w:p>
    <w:p>
      <w:pPr>
        <w:pStyle w:val="ListBullet"/>
      </w:pPr>
      <w:r>
        <w:rPr>
          <w:b w:val="0"/>
          <w:i w:val="0"/>
        </w:rPr>
        <w:t>Right-click the exact record or parent folder you intend to affect.</w:t>
      </w:r>
      <w:r>
        <w:rPr>
          <w:b w:val="0"/>
          <w:i w:val="0"/>
        </w:rPr>
        <w:t xml:space="preserve"> </w:t>
      </w:r>
      <w:r>
        <w:rPr>
          <w:b w:val="0"/>
          <w:i w:val="0"/>
        </w:rPr>
        <w:t xml:space="preserve"> </w:t>
      </w:r>
      <w:hyperlink r:id="rId57">
        <w:r>
          <w:rPr>
            <w:color w:val="176EA4"/>
          </w:rPr>
          <w:t>See screenshot</w:t>
        </w:r>
      </w:hyperlink>
      <w:r>
        <w:t xml:space="preserve"> </w:t>
      </w:r>
    </w:p>
    <w:p>
      <w:pPr>
        <w:pStyle w:val="ListBullet"/>
      </w:pPr>
      <w:r>
        <w:rPr>
          <w:b w:val="0"/>
          <w:i w:val="0"/>
        </w:rPr>
        <w:t>Read the scope shown in the menu.</w:t>
      </w:r>
      <w:r>
        <w:rPr>
          <w:b w:val="0"/>
          <w:i w:val="0"/>
        </w:rPr>
        <w:t xml:space="preserve"> </w:t>
      </w:r>
      <w:r>
        <w:rPr>
          <w:b w:val="0"/>
          <w:i w:val="0"/>
        </w:rPr>
        <w:t xml:space="preserve"> </w:t>
      </w:r>
      <w:hyperlink r:id="rId57">
        <w:r>
          <w:rPr>
            <w:color w:val="176EA4"/>
          </w:rPr>
          <w:t>See screenshot</w:t>
        </w:r>
      </w:hyperlink>
      <w:r>
        <w:t xml:space="preserve"> </w:t>
      </w:r>
    </w:p>
    <w:p>
      <w:pPr>
        <w:pStyle w:val="ListBullet"/>
      </w:pPr>
      <w:r>
        <w:rPr>
          <w:b w:val="0"/>
          <w:i w:val="0"/>
        </w:rPr>
        <w:t>Use Save Data or local database export when a portable copy is needed.</w:t>
      </w:r>
      <w:r>
        <w:rPr>
          <w:b w:val="0"/>
          <w:i w:val="0"/>
        </w:rPr>
        <w:t xml:space="preserve"> </w:t>
      </w:r>
      <w:r>
        <w:rPr>
          <w:b w:val="0"/>
          <w:i w:val="0"/>
        </w:rPr>
        <w:t xml:space="preserve"> </w:t>
      </w:r>
      <w:hyperlink r:id="rId57">
        <w:r>
          <w:rPr>
            <w:color w:val="176EA4"/>
          </w:rPr>
          <w:t>See screenshot</w:t>
        </w:r>
      </w:hyperlink>
      <w:r>
        <w:t xml:space="preserve"> </w:t>
      </w:r>
    </w:p>
    <w:p>
      <w:pPr>
        <w:pStyle w:val="ListBullet"/>
      </w:pPr>
      <w:r>
        <w:rPr>
          <w:b w:val="0"/>
          <w:i w:val="0"/>
        </w:rPr>
        <w:t>Check dependency warnings before destructive actions.</w:t>
      </w:r>
    </w:p>
    <w:p>
      <w:pPr>
        <w:keepNext/>
        <w:jc w:val="center"/>
      </w:pPr>
      <w:r>
        <w:drawing>
          <wp:inline xmlns:a="http://schemas.openxmlformats.org/drawingml/2006/main" xmlns:pic="http://schemas.openxmlformats.org/drawingml/2006/picture">
            <wp:extent cx="6217920" cy="2662460"/>
            <wp:docPr id="36" name="Picture 36" descr="The menu title and actions depend on the selected scope. This example is the whole Materials library."/>
            <wp:cNvGraphicFramePr>
              <a:graphicFrameLocks noChangeAspect="1"/>
            </wp:cNvGraphicFramePr>
            <a:graphic>
              <a:graphicData uri="http://schemas.openxmlformats.org/drawingml/2006/picture">
                <pic:pic>
                  <pic:nvPicPr>
                    <pic:cNvPr id="0" name="b7a3cd037863316cac071fe23b22518beccc72a56c9a6ba6f05dc7ea1f879be6.png"/>
                    <pic:cNvPicPr/>
                  </pic:nvPicPr>
                  <pic:blipFill>
                    <a:blip r:embed="rId52"/>
                    <a:stretch>
                      <a:fillRect/>
                    </a:stretch>
                  </pic:blipFill>
                  <pic:spPr>
                    <a:xfrm>
                      <a:off x="0" y="0"/>
                      <a:ext cx="6217920" cy="2662460"/>
                    </a:xfrm>
                    <a:prstGeom prst="rect"/>
                  </pic:spPr>
                </pic:pic>
              </a:graphicData>
            </a:graphic>
          </wp:inline>
        </w:drawing>
      </w:r>
    </w:p>
    <w:p>
      <w:pPr>
        <w:pStyle w:val="Caption"/>
      </w:pPr>
      <w:r>
        <w:rPr>
          <w:b/>
          <w:i w:val="0"/>
        </w:rPr>
        <w:t xml:space="preserve">Steps </w:t>
      </w:r>
      <w:r>
        <w:rPr>
          <w:b/>
          <w:i w:val="0"/>
        </w:rPr>
        <w:t xml:space="preserve"> </w:t>
      </w:r>
      <w:r>
        <w:rPr>
          <w:b/>
          <w:i w:val="0"/>
        </w:rPr>
        <w:t>1, 2, 3</w:t>
      </w:r>
      <w:r>
        <w:rPr>
          <w:b/>
          <w:i w:val="0"/>
        </w:rPr>
        <w:t xml:space="preserve"> </w:t>
      </w:r>
      <w:r>
        <w:rPr>
          <w:b/>
          <w:i w:val="0"/>
        </w:rPr>
        <w:t xml:space="preserve"> · </w:t>
      </w:r>
      <w:r>
        <w:rPr>
          <w:b w:val="0"/>
          <w:i w:val="0"/>
        </w:rPr>
        <w:t>The menu title and actions depend on the selected scope. This example is the whole Materials library.</w:t>
      </w:r>
      <w:r>
        <w:rPr>
          <w:b w:val="0"/>
          <w:i w:val="0"/>
        </w:rPr>
        <w:t xml:space="preserve"> </w:t>
      </w:r>
      <w:r>
        <w:rPr>
          <w:b w:val="0"/>
          <w:i w:val="0"/>
        </w:rPr>
        <w:t xml:space="preserve"> </w:t>
      </w:r>
      <w:hyperlink r:id="rId53">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6" w:name="chapter_6"/>
      <w:pPr>
        <w:pStyle w:val="Heading1"/>
        <w:pageBreakBefore/>
      </w:pPr>
      <w:r>
        <w:t>6 Build laminas and laminate families</w:t>
      </w:r>
      <w:bookmarkEnd w:id="6"/>
    </w:p>
    <w:p>
      <w:pPr>
        <w:pStyle w:val="Caption"/>
      </w:pPr>
      <w:hyperlink r:id="rId58">
        <w:r>
          <w:rPr>
            <w:color w:val="176EA4"/>
          </w:rPr>
          <w:t>Online chapter</w:t>
        </w:r>
      </w:hyperlink>
      <w:r>
        <w:t xml:space="preserve"> </w:t>
      </w:r>
    </w:p>
    <w:p>
      <w:pPr/>
      <w:r>
        <w:rPr>
          <w:b w:val="0"/>
          <w:i w:val="0"/>
        </w:rPr>
        <w:t>Connect materials, edit compact ply stacks, review effective results, and create reusable material records.</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r>
        <w:t>Inspect a ply stack</w:t>
      </w:r>
    </w:p>
    <w:p>
      <w:pPr/>
      <w:r>
        <w:rPr>
          <w:b w:val="0"/>
          <w:i w:val="0"/>
        </w:rPr>
        <w:t>Angle pair ±θ</w:t>
      </w:r>
      <w:r>
        <w:t xml:space="preserve">: </w:t>
      </w:r>
      <w:r>
        <w:rPr>
          <w:b w:val="0"/>
          <w:i w:val="0"/>
        </w:rPr>
        <w:t>45</w:t>
      </w:r>
      <w:r>
        <w:rPr>
          <w:b w:val="0"/>
          <w:i w:val="0"/>
        </w:rPr>
        <w:t xml:space="preserve"> </w:t>
      </w:r>
      <w:r>
        <w:rPr>
          <w:b w:val="0"/>
          <w:i w:val="0"/>
        </w:rPr>
        <w:t xml:space="preserve"> </w:t>
      </w:r>
      <w:r>
        <w:rPr>
          <w:b w:val="0"/>
          <w:i w:val="0"/>
        </w:rPr>
        <w:t xml:space="preserve"> </w:t>
      </w:r>
      <w:r>
        <w:rPr>
          <w:b w:val="0"/>
          <w:i w:val="0"/>
        </w:rPr>
        <w:t>°</w:t>
      </w:r>
    </w:p>
    <w:p>
      <w:r>
        <w:t>Ply to resize</w:t>
      </w:r>
    </w:p>
    <w:p>
      <w:pPr/>
      <w:r>
        <w:rPr>
          <w:b w:val="0"/>
          <w:i w:val="0"/>
        </w:rPr>
        <w:t>Selected ply thickness</w:t>
      </w:r>
      <w:r>
        <w:t xml:space="preserve">: </w:t>
      </w:r>
      <w:r>
        <w:rPr>
          <w:b w:val="0"/>
          <w:i w:val="0"/>
        </w:rPr>
        <w:t>0.125</w:t>
      </w:r>
      <w:r>
        <w:rPr>
          <w:b w:val="0"/>
          <w:i w:val="0"/>
        </w:rPr>
        <w:t xml:space="preserve"> </w:t>
      </w:r>
      <w:r>
        <w:rPr>
          <w:b w:val="0"/>
          <w:i w:val="0"/>
        </w:rPr>
        <w:t xml:space="preserve"> </w:t>
      </w:r>
      <w:r>
        <w:rPr>
          <w:b w:val="0"/>
          <w:i w:val="0"/>
        </w:rPr>
        <w:t xml:space="preserve"> </w:t>
      </w:r>
      <w:r>
        <w:rPr>
          <w:b w:val="0"/>
          <w:i w:val="0"/>
        </w:rPr>
        <w:t>mm</w:t>
      </w:r>
    </w:p>
    <w:p>
      <w:pPr/>
      <w:r>
        <w:rPr>
          <w:b w:val="0"/>
          <w:i w:val="0"/>
        </w:rPr>
        <w:t xml:space="preserve">8 plies · </w:t>
      </w:r>
      <w:r>
        <w:rPr>
          <w:b w:val="0"/>
          <w:i w:val="0"/>
        </w:rPr>
        <w:t xml:space="preserve"> </w:t>
      </w:r>
      <w:r>
        <w:rPr>
          <w:b w:val="0"/>
          <w:i w:val="0"/>
        </w:rPr>
        <w:t>1.000</w:t>
      </w:r>
      <w:r>
        <w:rPr>
          <w:b w:val="0"/>
          <w:i w:val="0"/>
        </w:rPr>
        <w:t xml:space="preserve"> </w:t>
      </w:r>
      <w:r>
        <w:rPr>
          <w:b w:val="0"/>
          <w:i w:val="0"/>
        </w:rPr>
        <w:t xml:space="preserve"> mm total. Thickness is proportional in the section; line direction indicates angle, not a stress field.</w:t>
      </w:r>
    </w:p>
    <w:p>
      <w:pPr>
        <w:keepNext w:val="0"/>
        <w:jc w:val="center"/>
      </w:pPr>
      <w:r>
        <w:drawing>
          <wp:inline xmlns:a="http://schemas.openxmlformats.org/drawingml/2006/main" xmlns:pic="http://schemas.openxmlformats.org/drawingml/2006/picture">
            <wp:extent cx="6217920" cy="2908382"/>
            <wp:docPr id="37" name="Picture 37" descr="CDS workflow or model illustration"/>
            <wp:cNvGraphicFramePr>
              <a:graphicFrameLocks noChangeAspect="1"/>
            </wp:cNvGraphicFramePr>
            <a:graphic>
              <a:graphicData uri="http://schemas.openxmlformats.org/drawingml/2006/picture">
                <pic:pic>
                  <pic:nvPicPr>
                    <pic:cNvPr id="0" name="rsvg-2ba7544da96804b85dae811f3da1b278afcdbafe051bd05b2a9e7c199cd568d4.png"/>
                    <pic:cNvPicPr/>
                  </pic:nvPicPr>
                  <pic:blipFill>
                    <a:blip r:embed="rId59"/>
                    <a:stretch>
                      <a:fillRect/>
                    </a:stretch>
                  </pic:blipFill>
                  <pic:spPr>
                    <a:xfrm>
                      <a:off x="0" y="0"/>
                      <a:ext cx="6217920" cy="2908382"/>
                    </a:xfrm>
                    <a:prstGeom prst="rect"/>
                  </pic:spPr>
                </pic:pic>
              </a:graphicData>
            </a:graphic>
          </wp:inline>
        </w:drawing>
      </w:r>
    </w:p>
    <w:p>
      <w:pPr/>
      <w:r>
        <w:rPr>
          <w:b w:val="0"/>
          <w:i w:val="0"/>
        </w:rPr>
        <w:t>[θ / −θ / 0 / 90 / 90 / 0 / −θ / θ]</w:t>
      </w:r>
    </w:p>
    <w:p>
      <w:pPr/>
      <w:hyperlink r:id="rId14">
        <w:r>
          <w:rPr>
            <w:color w:val="176EA4"/>
          </w:rPr>
          <w:t>All exercises, case studies and simulation examples →</w:t>
        </w:r>
      </w:hyperlink>
      <w:r>
        <w:t xml:space="preserve"> </w:t>
      </w:r>
      <w:r>
        <w:rPr>
          <w:b w:val="0"/>
          <w:i w:val="0"/>
        </w:rPr>
        <w:t xml:space="preserve"> · </w:t>
      </w:r>
      <w:hyperlink r:id="rId12">
        <w:r>
          <w:rPr>
            <w:color w:val="176EA4"/>
          </w:rPr>
          <w:t>Your CDS library: overview, manuals and database downloads →</w:t>
        </w:r>
      </w:hyperlink>
      <w:r>
        <w:t xml:space="preserve"> </w:t>
      </w:r>
    </w:p>
    <w:p>
      <w:pPr>
        <w:pStyle w:val="Heading2"/>
      </w:pPr>
      <w:r>
        <w:t>Create a lamina</w:t>
      </w:r>
    </w:p>
    <w:p>
      <w:pPr/>
      <w:r>
        <w:rPr>
          <w:b w:val="0"/>
          <w:i w:val="0"/>
        </w:rPr>
        <w:t>Create or duplicate a lamina record, then connect its constituent materials through the editor selectors. Material filters can limit selections to a virtual material family.</w:t>
      </w:r>
    </w:p>
    <w:p>
      <w:pPr>
        <w:pStyle w:val="ListBullet"/>
      </w:pPr>
      <w:r>
        <w:rPr>
          <w:b w:val="0"/>
          <w:i w:val="0"/>
        </w:rPr>
        <w:t>Select the lamina type.</w:t>
      </w:r>
      <w:r>
        <w:rPr>
          <w:b w:val="0"/>
          <w:i w:val="0"/>
        </w:rPr>
        <w:t xml:space="preserve"> </w:t>
      </w:r>
      <w:r>
        <w:rPr>
          <w:b w:val="0"/>
          <w:i w:val="0"/>
        </w:rPr>
        <w:t xml:space="preserve"> </w:t>
      </w:r>
      <w:hyperlink r:id="rId60">
        <w:r>
          <w:rPr>
            <w:color w:val="176EA4"/>
          </w:rPr>
          <w:t>See screenshot</w:t>
        </w:r>
      </w:hyperlink>
      <w:r>
        <w:t xml:space="preserve"> </w:t>
      </w:r>
    </w:p>
    <w:p>
      <w:pPr>
        <w:pStyle w:val="ListBullet"/>
      </w:pPr>
      <w:r>
        <w:rPr>
          <w:b w:val="0"/>
          <w:i w:val="0"/>
        </w:rPr>
        <w:t>Choose constituent materials.</w:t>
      </w:r>
    </w:p>
    <w:p>
      <w:pPr>
        <w:pStyle w:val="ListBullet"/>
      </w:pPr>
      <w:r>
        <w:rPr>
          <w:b w:val="0"/>
          <w:i w:val="0"/>
        </w:rPr>
        <w:t>Enter architecture and volume-fraction inputs.</w:t>
      </w:r>
    </w:p>
    <w:p>
      <w:pPr>
        <w:pStyle w:val="ListBullet"/>
      </w:pPr>
      <w:r>
        <w:rPr>
          <w:b w:val="0"/>
          <w:i w:val="0"/>
        </w:rPr>
        <w:t>Review constituent references in the editor and model summary.</w:t>
      </w:r>
    </w:p>
    <w:p>
      <w:pPr>
        <w:keepNext w:val="0"/>
        <w:jc w:val="center"/>
      </w:pPr>
      <w:r>
        <w:drawing>
          <wp:inline xmlns:a="http://schemas.openxmlformats.org/drawingml/2006/main" xmlns:pic="http://schemas.openxmlformats.org/drawingml/2006/picture">
            <wp:extent cx="6217920" cy="4897347"/>
            <wp:docPr id="38" name="Picture 38" descr="Microstructure &amp; Model selects the architecture and compatible model. Materials and Composition &amp; Geometry are separate input tabs."/>
            <wp:cNvGraphicFramePr>
              <a:graphicFrameLocks noChangeAspect="1"/>
            </wp:cNvGraphicFramePr>
            <a:graphic>
              <a:graphicData uri="http://schemas.openxmlformats.org/drawingml/2006/picture">
                <pic:pic>
                  <pic:nvPicPr>
                    <pic:cNvPr id="0" name="56a1bd74d21d0691e23c163a8ea3b1f5fef6777ca1f240ad2de3993c21d1cf84.png"/>
                    <pic:cNvPicPr/>
                  </pic:nvPicPr>
                  <pic:blipFill>
                    <a:blip r:embed="rId36"/>
                    <a:stretch>
                      <a:fillRect/>
                    </a:stretch>
                  </pic:blipFill>
                  <pic:spPr>
                    <a:xfrm>
                      <a:off x="0" y="0"/>
                      <a:ext cx="6217920" cy="4897347"/>
                    </a:xfrm>
                    <a:prstGeom prst="rect"/>
                  </pic:spPr>
                </pic:pic>
              </a:graphicData>
            </a:graphic>
          </wp:inline>
        </w:drawing>
      </w:r>
    </w:p>
    <w:p>
      <w:pPr>
        <w:pStyle w:val="Caption"/>
      </w:pPr>
      <w:r>
        <w:rPr>
          <w:b/>
          <w:i w:val="0"/>
        </w:rPr>
        <w:t xml:space="preserve">Steps </w:t>
      </w:r>
      <w:r>
        <w:rPr>
          <w:b/>
          <w:i w:val="0"/>
        </w:rPr>
        <w:t xml:space="preserve"> </w:t>
      </w:r>
      <w:r>
        <w:rPr>
          <w:b/>
          <w:i w:val="0"/>
        </w:rPr>
        <w:t>1</w:t>
      </w:r>
      <w:r>
        <w:rPr>
          <w:b/>
          <w:i w:val="0"/>
        </w:rPr>
        <w:t xml:space="preserve"> </w:t>
      </w:r>
      <w:r>
        <w:rPr>
          <w:b/>
          <w:i w:val="0"/>
        </w:rPr>
        <w:t xml:space="preserve"> · </w:t>
      </w:r>
      <w:r>
        <w:rPr>
          <w:b w:val="0"/>
          <w:i w:val="0"/>
        </w:rPr>
        <w:t>Microstructure &amp; Model selects the architecture and compatible model. Materials and Composition &amp; Geometry are separate input tabs.</w:t>
      </w:r>
      <w:r>
        <w:rPr>
          <w:b w:val="0"/>
          <w:i w:val="0"/>
        </w:rPr>
        <w:t xml:space="preserve"> </w:t>
      </w:r>
      <w:r>
        <w:rPr>
          <w:b w:val="0"/>
          <w:i w:val="0"/>
        </w:rPr>
        <w:t xml:space="preserve"> </w:t>
      </w:r>
      <w:hyperlink r:id="rId37">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jc w:val="center"/>
      </w:pPr>
      <w:r>
        <w:drawing>
          <wp:inline xmlns:a="http://schemas.openxmlformats.org/drawingml/2006/main" xmlns:pic="http://schemas.openxmlformats.org/drawingml/2006/picture">
            <wp:extent cx="6217920" cy="5080361"/>
            <wp:docPr id="39" name="Picture 39" descr="DISCOVER twill fabric unit-cell GUI"/>
            <wp:cNvGraphicFramePr>
              <a:graphicFrameLocks noChangeAspect="1"/>
            </wp:cNvGraphicFramePr>
            <a:graphic>
              <a:graphicData uri="http://schemas.openxmlformats.org/drawingml/2006/picture">
                <pic:pic>
                  <pic:nvPicPr>
                    <pic:cNvPr id="0" name="6924e77333e34abbd40c8b9aac70d16f85459e7fbc7df344f10bb76e3587da50.png"/>
                    <pic:cNvPicPr/>
                  </pic:nvPicPr>
                  <pic:blipFill>
                    <a:blip r:embed="rId61"/>
                    <a:stretch>
                      <a:fillRect/>
                    </a:stretch>
                  </pic:blipFill>
                  <pic:spPr>
                    <a:xfrm>
                      <a:off x="0" y="0"/>
                      <a:ext cx="6217920" cy="5080361"/>
                    </a:xfrm>
                    <a:prstGeom prst="rect"/>
                  </pic:spPr>
                </pic:pic>
              </a:graphicData>
            </a:graphic>
          </wp:inline>
        </w:drawing>
      </w:r>
    </w:p>
    <w:p>
      <w:pPr>
        <w:pStyle w:val="Caption"/>
      </w:pPr>
      <w:r>
        <w:rPr>
          <w:b w:val="0"/>
          <w:i w:val="0"/>
        </w:rPr>
        <w:t>Woven fabric detail: rotate a cell or repeat it into a tiled patch. This local Workbench component capture shows illustrative yarn surfaces; missing dimensions are listed under Geometry inputs &amp; assumptions. The same viewer is available in Micro and Live Stack.</w:t>
      </w:r>
      <w:r>
        <w:rPr>
          <w:b w:val="0"/>
          <w:i w:val="0"/>
        </w:rPr>
        <w:t xml:space="preserve"> </w:t>
      </w:r>
      <w:r>
        <w:rPr>
          <w:b w:val="0"/>
          <w:i w:val="0"/>
        </w:rPr>
        <w:t xml:space="preserve"> </w:t>
      </w:r>
      <w:hyperlink r:id="rId62">
        <w:r>
          <w:rPr>
            <w:color w:val="176EA4"/>
          </w:rPr>
          <w:t>Open full size </w:t>
        </w:r>
      </w:hyperlink>
      <w:r>
        <w:t xml:space="preserve"> </w:t>
      </w:r>
      <w:r>
        <w:rPr>
          <w:b w:val="0"/>
          <w:i w:val="0"/>
        </w:rPr>
        <w:t xml:space="preserve">GUI capture · </w:t>
      </w:r>
      <w:r>
        <w:rPr>
          <w:b w:val="0"/>
          <w:i w:val="0"/>
        </w:rPr>
        <w:t xml:space="preserve"> </w:t>
      </w:r>
      <w:r>
        <w:rPr>
          <w:b w:val="0"/>
          <w:i w:val="0"/>
        </w:rPr>
        <w:t>September 17, 2026</w:t>
      </w:r>
      <w:r>
        <w:rPr>
          <w:b w:val="0"/>
          <w:i w:val="0"/>
        </w:rPr>
        <w:t xml:space="preserve"> </w:t>
      </w:r>
      <w:r>
        <w:rPr>
          <w:b w:val="0"/>
          <w:i w:val="0"/>
        </w:rPr>
        <w:t>. Control locations may differ in later releases; not benchmark evidence.</w:t>
      </w:r>
      <w:r>
        <w:t xml:space="preserve"> </w:t>
      </w:r>
    </w:p>
    <w:p>
      <w:pPr>
        <w:pStyle w:val="Heading2"/>
      </w:pPr>
      <w:r>
        <w:t>Organize laminate families</w:t>
      </w:r>
    </w:p>
    <w:p>
      <w:pPr/>
      <w:r>
        <w:rPr>
          <w:b w:val="0"/>
          <w:i w:val="0"/>
        </w:rPr>
        <w:t>Create virtual folders under Laminates to group conventional, Double-Double, program-specific, or qualification laminates. The protected Conventional Laminates folder remains available as a base family.</w:t>
      </w:r>
    </w:p>
    <w:p>
      <w:pPr>
        <w:keepNext/>
        <w:jc w:val="center"/>
      </w:pPr>
      <w:r>
        <w:drawing>
          <wp:inline xmlns:a="http://schemas.openxmlformats.org/drawingml/2006/main" xmlns:pic="http://schemas.openxmlformats.org/drawingml/2006/picture">
            <wp:extent cx="6217920" cy="3497580"/>
            <wp:docPr id="40" name="Picture 40" descr="The Laminates branch organizes families; the selected laminate opens its ply table and LiveStack."/>
            <wp:cNvGraphicFramePr>
              <a:graphicFrameLocks noChangeAspect="1"/>
            </wp:cNvGraphicFramePr>
            <a:graphic>
              <a:graphicData uri="http://schemas.openxmlformats.org/drawingml/2006/picture">
                <pic:pic>
                  <pic:nvPicPr>
                    <pic:cNvPr id="0" name="b98b322234bb1808339ffb732da1d404fea2cc3b4b018147cf6bc9be08c7b09f.png"/>
                    <pic:cNvPicPr/>
                  </pic:nvPicPr>
                  <pic:blipFill>
                    <a:blip r:embed="rId38"/>
                    <a:stretch>
                      <a:fillRect/>
                    </a:stretch>
                  </pic:blipFill>
                  <pic:spPr>
                    <a:xfrm>
                      <a:off x="0" y="0"/>
                      <a:ext cx="6217920" cy="3497580"/>
                    </a:xfrm>
                    <a:prstGeom prst="rect"/>
                  </pic:spPr>
                </pic:pic>
              </a:graphicData>
            </a:graphic>
          </wp:inline>
        </w:drawing>
      </w:r>
    </w:p>
    <w:p>
      <w:pPr>
        <w:pStyle w:val="Caption"/>
      </w:pPr>
      <w:r>
        <w:rPr>
          <w:b w:val="0"/>
          <w:i w:val="0"/>
        </w:rPr>
        <w:t>The Laminates branch organizes families; the selected laminate opens its ply table and LiveStack.</w:t>
      </w:r>
      <w:r>
        <w:rPr>
          <w:b w:val="0"/>
          <w:i w:val="0"/>
        </w:rPr>
        <w:t xml:space="preserve"> </w:t>
      </w:r>
      <w:r>
        <w:rPr>
          <w:b w:val="0"/>
          <w:i w:val="0"/>
        </w:rPr>
        <w:t xml:space="preserve"> </w:t>
      </w:r>
      <w:hyperlink r:id="rId39">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pStyle w:val="Heading2"/>
      </w:pPr>
      <w:r>
        <w:t>Use the compact laminate editor</w:t>
      </w:r>
    </w:p>
    <w:p>
      <w:pPr/>
      <w:r>
        <w:rPr>
          <w:b w:val="0"/>
          <w:i w:val="0"/>
        </w:rPr>
        <w:t>The setup inputs and laminate status are condensed above the ply table. Select each lamina, set its angle with the −90° to +90° popup slider in 5° increments, and enter a thickness greater than zero. LiveStack defaults to angle coloring; switch to material coloring when checking sources.</w:t>
      </w:r>
    </w:p>
    <w:p>
      <w:pPr>
        <w:keepNext/>
        <w:jc w:val="center"/>
      </w:pPr>
      <w:r>
        <w:drawing>
          <wp:inline xmlns:a="http://schemas.openxmlformats.org/drawingml/2006/main" xmlns:pic="http://schemas.openxmlformats.org/drawingml/2006/picture">
            <wp:extent cx="6217920" cy="3497580"/>
            <wp:docPr id="41" name="Picture 41" descr="Read each row across: source, material or solved lamina, angle, thickness and visibility. LiveStack shows the resulting sequence."/>
            <wp:cNvGraphicFramePr>
              <a:graphicFrameLocks noChangeAspect="1"/>
            </wp:cNvGraphicFramePr>
            <a:graphic>
              <a:graphicData uri="http://schemas.openxmlformats.org/drawingml/2006/picture">
                <pic:pic>
                  <pic:nvPicPr>
                    <pic:cNvPr id="0" name="b98b322234bb1808339ffb732da1d404fea2cc3b4b018147cf6bc9be08c7b09f.png"/>
                    <pic:cNvPicPr/>
                  </pic:nvPicPr>
                  <pic:blipFill>
                    <a:blip r:embed="rId38"/>
                    <a:stretch>
                      <a:fillRect/>
                    </a:stretch>
                  </pic:blipFill>
                  <pic:spPr>
                    <a:xfrm>
                      <a:off x="0" y="0"/>
                      <a:ext cx="6217920" cy="3497580"/>
                    </a:xfrm>
                    <a:prstGeom prst="rect"/>
                  </pic:spPr>
                </pic:pic>
              </a:graphicData>
            </a:graphic>
          </wp:inline>
        </w:drawing>
      </w:r>
    </w:p>
    <w:p>
      <w:pPr>
        <w:pStyle w:val="Caption"/>
      </w:pPr>
      <w:r>
        <w:rPr>
          <w:b w:val="0"/>
          <w:i w:val="0"/>
        </w:rPr>
        <w:t>Read each row across: source, material or solved lamina, angle, thickness and visibility. LiveStack shows the resulting sequence.</w:t>
      </w:r>
      <w:r>
        <w:rPr>
          <w:b w:val="0"/>
          <w:i w:val="0"/>
        </w:rPr>
        <w:t xml:space="preserve"> </w:t>
      </w:r>
      <w:r>
        <w:rPr>
          <w:b w:val="0"/>
          <w:i w:val="0"/>
        </w:rPr>
        <w:t xml:space="preserve"> </w:t>
      </w:r>
      <w:hyperlink r:id="rId39">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A zero ply thickness is invalid and cannot be submitted to the solver.</w:t>
      </w:r>
    </w:p>
    <w:p>
      <w:pPr>
        <w:pStyle w:val="Heading2"/>
      </w:pPr>
      <w:r>
        <w:t>Apply laminate relations</w:t>
      </w:r>
    </w:p>
    <w:p>
      <w:pPr/>
      <w:r>
        <w:rPr>
          <w:b w:val="0"/>
          <w:i w:val="0"/>
        </w:rPr>
        <w:t>Apply Symmetry, Apply Balance, and Apply DD sit with their matching status indicators above the table. Each action updates the stack toward the indicated relation and becomes disabled when the current laminate already satisfies it or already matches the predicted DD stack.</w:t>
      </w:r>
    </w:p>
    <w:p>
      <w:pPr>
        <w:keepNext/>
        <w:jc w:val="center"/>
      </w:pPr>
      <w:r>
        <w:drawing>
          <wp:inline xmlns:a="http://schemas.openxmlformats.org/drawingml/2006/main" xmlns:pic="http://schemas.openxmlformats.org/drawingml/2006/picture">
            <wp:extent cx="6217920" cy="3497580"/>
            <wp:docPr id="42" name="Picture 42" descr="Relation indicators and actions sit above the ply table. Review the updated stack after applying a relation."/>
            <wp:cNvGraphicFramePr>
              <a:graphicFrameLocks noChangeAspect="1"/>
            </wp:cNvGraphicFramePr>
            <a:graphic>
              <a:graphicData uri="http://schemas.openxmlformats.org/drawingml/2006/picture">
                <pic:pic>
                  <pic:nvPicPr>
                    <pic:cNvPr id="0" name="b98b322234bb1808339ffb732da1d404fea2cc3b4b018147cf6bc9be08c7b09f.png"/>
                    <pic:cNvPicPr/>
                  </pic:nvPicPr>
                  <pic:blipFill>
                    <a:blip r:embed="rId38"/>
                    <a:stretch>
                      <a:fillRect/>
                    </a:stretch>
                  </pic:blipFill>
                  <pic:spPr>
                    <a:xfrm>
                      <a:off x="0" y="0"/>
                      <a:ext cx="6217920" cy="3497580"/>
                    </a:xfrm>
                    <a:prstGeom prst="rect"/>
                  </pic:spPr>
                </pic:pic>
              </a:graphicData>
            </a:graphic>
          </wp:inline>
        </w:drawing>
      </w:r>
    </w:p>
    <w:p>
      <w:pPr>
        <w:pStyle w:val="Caption"/>
      </w:pPr>
      <w:r>
        <w:rPr>
          <w:b w:val="0"/>
          <w:i w:val="0"/>
        </w:rPr>
        <w:t>Relation indicators and actions sit above the ply table. Review the updated stack after applying a relation.</w:t>
      </w:r>
      <w:r>
        <w:rPr>
          <w:b w:val="0"/>
          <w:i w:val="0"/>
        </w:rPr>
        <w:t xml:space="preserve"> </w:t>
      </w:r>
      <w:r>
        <w:rPr>
          <w:b w:val="0"/>
          <w:i w:val="0"/>
        </w:rPr>
        <w:t xml:space="preserve"> </w:t>
      </w:r>
      <w:hyperlink r:id="rId39">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pStyle w:val="Heading2"/>
      </w:pPr>
      <w:r>
        <w:t>Fill from the selected cell</w:t>
      </w:r>
    </w:p>
    <w:p>
      <w:pPr/>
      <w:r>
        <w:rPr>
          <w:b w:val="0"/>
          <w:i w:val="0"/>
        </w:rPr>
        <w:t>In the single-laminate ply table, select or right-click the source cell. The row, column and cell highlight show the target. Fill entire column from ply copies that cell’s value to every ply in that column, including rows above the source.</w:t>
      </w:r>
    </w:p>
    <w:p>
      <w:pPr>
        <w:pStyle w:val="ListBullet"/>
      </w:pPr>
      <w:r>
        <w:rPr>
          <w:b w:val="0"/>
          <w:i w:val="0"/>
        </w:rPr>
        <w:t>Check the source ply and column named in the menu or toolbar tooltip.</w:t>
      </w:r>
    </w:p>
    <w:p>
      <w:pPr>
        <w:pStyle w:val="ListBullet"/>
      </w:pPr>
      <w:r>
        <w:rPr>
          <w:b w:val="0"/>
          <w:i w:val="0"/>
        </w:rPr>
        <w:t>Choose Fill only after confirming that every ply should receive that value.</w:t>
      </w:r>
    </w:p>
    <w:p>
      <w:pPr>
        <w:pStyle w:val="ListBullet"/>
      </w:pPr>
      <w:r>
        <w:rPr>
          <w:b w:val="0"/>
          <w:i w:val="0"/>
        </w:rPr>
        <w:t>Review the full sequence and save only when intended. Invert and Symmetry act on their selected column too.</w:t>
      </w:r>
    </w:p>
    <w:p>
      <w:pPr>
        <w:keepNext/>
      </w:pPr>
      <w:r>
        <w:t>Good practice</w:t>
      </w:r>
    </w:p>
    <w:p>
      <w:pPr/>
      <w:r>
        <w:rPr>
          <w:b w:val="0"/>
          <w:i w:val="0"/>
        </w:rPr>
        <w:t>The multi-laminate comparison table has a different orientation: rows are laminates and columns are ply positions. Its Fill column from first value acts across the selected laminates, not down the plies of one stack.</w:t>
      </w:r>
    </w:p>
    <w:p>
      <w:pPr>
        <w:pStyle w:val="Heading2"/>
      </w:pPr>
      <w:r>
        <w:t>Start from common layups</w:t>
      </w:r>
    </w:p>
    <w:p>
      <w:pPr/>
      <w:r>
        <w:rPr>
          <w:b w:val="0"/>
          <w:i w:val="0"/>
        </w:rPr>
        <w:t>Use the available templates for unidirectional, cross-ply, and quasi-isotropic stacks. When compatible, the editor can propose a stiffness-matched Double-Double candidate for comparison.</w:t>
      </w:r>
    </w:p>
    <w:p>
      <w:pPr>
        <w:keepNext/>
        <w:jc w:val="center"/>
      </w:pPr>
      <w:r>
        <w:drawing>
          <wp:inline xmlns:a="http://schemas.openxmlformats.org/drawingml/2006/main" xmlns:pic="http://schemas.openxmlformats.org/drawingml/2006/picture">
            <wp:extent cx="6217920" cy="3497580"/>
            <wp:docPr id="43" name="Picture 43" descr="The layup preset selector is above the material column, beside the ply-count control."/>
            <wp:cNvGraphicFramePr>
              <a:graphicFrameLocks noChangeAspect="1"/>
            </wp:cNvGraphicFramePr>
            <a:graphic>
              <a:graphicData uri="http://schemas.openxmlformats.org/drawingml/2006/picture">
                <pic:pic>
                  <pic:nvPicPr>
                    <pic:cNvPr id="0" name="b98b322234bb1808339ffb732da1d404fea2cc3b4b018147cf6bc9be08c7b09f.png"/>
                    <pic:cNvPicPr/>
                  </pic:nvPicPr>
                  <pic:blipFill>
                    <a:blip r:embed="rId38"/>
                    <a:stretch>
                      <a:fillRect/>
                    </a:stretch>
                  </pic:blipFill>
                  <pic:spPr>
                    <a:xfrm>
                      <a:off x="0" y="0"/>
                      <a:ext cx="6217920" cy="3497580"/>
                    </a:xfrm>
                    <a:prstGeom prst="rect"/>
                  </pic:spPr>
                </pic:pic>
              </a:graphicData>
            </a:graphic>
          </wp:inline>
        </w:drawing>
      </w:r>
    </w:p>
    <w:p>
      <w:pPr>
        <w:pStyle w:val="Caption"/>
      </w:pPr>
      <w:r>
        <w:rPr>
          <w:b w:val="0"/>
          <w:i w:val="0"/>
        </w:rPr>
        <w:t>The layup preset selector is above the material column, beside the ply-count control.</w:t>
      </w:r>
      <w:r>
        <w:rPr>
          <w:b w:val="0"/>
          <w:i w:val="0"/>
        </w:rPr>
        <w:t xml:space="preserve"> </w:t>
      </w:r>
      <w:r>
        <w:rPr>
          <w:b w:val="0"/>
          <w:i w:val="0"/>
        </w:rPr>
        <w:t xml:space="preserve"> </w:t>
      </w:r>
      <w:hyperlink r:id="rId39">
        <w:r>
          <w:rPr>
            <w:color w:val="176EA4"/>
          </w:rPr>
          <w:t>Open full size </w:t>
        </w:r>
      </w:hyperlink>
      <w:r>
        <w:t xml:space="preserve"> </w:t>
      </w:r>
      <w:r>
        <w:rPr>
          <w:b w:val="0"/>
          <w:i w:val="0"/>
        </w:rPr>
        <w:t xml:space="preserve">GUI capture · </w:t>
      </w:r>
      <w:r>
        <w:rPr>
          <w:b w:val="0"/>
          <w:i w:val="0"/>
        </w:rPr>
        <w:t xml:space="preserve"> </w:t>
      </w:r>
      <w:r>
        <w:rPr>
          <w:b w:val="0"/>
          <w:i w:val="0"/>
        </w:rPr>
        <w:t>September 10, 2026</w:t>
      </w:r>
      <w:r>
        <w:rPr>
          <w:b w:val="0"/>
          <w:i w:val="0"/>
        </w:rPr>
        <w:t xml:space="preserve"> </w:t>
      </w:r>
      <w:r>
        <w:rPr>
          <w:b w:val="0"/>
          <w:i w:val="0"/>
        </w:rPr>
        <w:t>. Control locations may differ in later releases; not benchmark evidence.</w:t>
      </w:r>
      <w:r>
        <w:t xml:space="preserve"> </w:t>
      </w:r>
    </w:p>
    <w:p>
      <w:pPr>
        <w:pStyle w:val="Heading2"/>
      </w:pPr>
      <w:r>
        <w:t>Review effective properties</w:t>
      </w:r>
    </w:p>
    <w:p>
      <w:pPr/>
      <w:r>
        <w:rPr>
          <w:b w:val="0"/>
          <w:i w:val="0"/>
        </w:rPr>
        <w:t>Lamina and laminate Results use Table, Ashby, Bar, and Line views. A single selection shows that record’s predicted property indicators. Multiple selections produce a table with properties as rows and selected laminas or laminates as columns.</w:t>
      </w:r>
    </w:p>
    <w:p>
      <w:pPr>
        <w:pStyle w:val="Heading2"/>
      </w:pPr>
      <w:r>
        <w:t>Create a material from effective results</w:t>
      </w:r>
    </w:p>
    <w:p>
      <w:pPr/>
      <w:r>
        <w:rPr>
          <w:b w:val="0"/>
          <w:i w:val="0"/>
        </w:rPr>
        <w:t>Open Create Material in a lamina or laminate result view, then choose the destination material class. The dialog proposes the source lamina or laminate name and lets you rename the new record.</w:t>
      </w:r>
    </w:p>
    <w:p>
      <w:pPr>
        <w:pStyle w:val="ListBullet"/>
      </w:pPr>
      <w:r>
        <w:rPr>
          <w:b w:val="0"/>
          <w:i w:val="0"/>
        </w:rPr>
        <w:t>Choose the target class so its relevant property assumptions are available.</w:t>
      </w:r>
    </w:p>
    <w:p>
      <w:pPr>
        <w:pStyle w:val="ListBullet"/>
      </w:pPr>
      <w:r>
        <w:rPr>
          <w:b w:val="0"/>
          <w:i w:val="0"/>
        </w:rPr>
        <w:t>Choose properties only or include source-identifying information.</w:t>
      </w:r>
    </w:p>
    <w:p>
      <w:pPr>
        <w:pStyle w:val="ListBullet"/>
      </w:pPr>
      <w:r>
        <w:rPr>
          <w:b w:val="0"/>
          <w:i w:val="0"/>
        </w:rPr>
        <w:t>Leave unpredicted properties empty or fill them with the selected class assumptions, such as tension equals compression.</w:t>
      </w:r>
    </w:p>
    <w:p>
      <w:pPr>
        <w:pStyle w:val="ListBullet"/>
      </w:pPr>
      <w:r>
        <w:rPr>
          <w:b w:val="0"/>
          <w:i w:val="0"/>
        </w:rPr>
        <w:t>Review the new material record before using it in another model.</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7" w:name="chapter_7"/>
      <w:pPr>
        <w:pStyle w:val="Heading1"/>
        <w:pageBreakBefore/>
      </w:pPr>
      <w:r>
        <w:t>7 Prepare visualize optimize and run analysis cases</w:t>
      </w:r>
      <w:bookmarkEnd w:id="7"/>
    </w:p>
    <w:p>
      <w:pPr>
        <w:pStyle w:val="Caption"/>
      </w:pPr>
      <w:hyperlink r:id="rId63">
        <w:r>
          <w:rPr>
            <w:color w:val="176EA4"/>
          </w:rPr>
          <w:t>Online chapter</w:t>
        </w:r>
      </w:hyperlink>
      <w:r>
        <w:t xml:space="preserve"> </w:t>
      </w:r>
    </w:p>
    <w:p>
      <w:pPr/>
      <w:r>
        <w:rPr>
          <w:b w:val="0"/>
          <w:i w:val="0"/>
        </w:rPr>
        <w:t>Define connected process and structural inputs, include cure-aware physics, optimize cycles, verify loads graphically, run the solver, and review result provenance.</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r>
        <w:t>Read time and travel distance</w:t>
      </w:r>
    </w:p>
    <w:p>
      <w:pPr/>
      <w:r>
        <w:rPr>
          <w:b w:val="0"/>
          <w:i w:val="0"/>
        </w:rPr>
        <w:t>Boundary peak</w:t>
      </w:r>
      <w:r>
        <w:t xml:space="preserve">: </w:t>
      </w:r>
      <w:r>
        <w:rPr>
          <w:b w:val="0"/>
          <w:i w:val="0"/>
        </w:rPr>
        <w:t>120</w:t>
      </w:r>
      <w:r>
        <w:rPr>
          <w:b w:val="0"/>
          <w:i w:val="0"/>
        </w:rPr>
        <w:t xml:space="preserve"> </w:t>
      </w:r>
      <w:r>
        <w:rPr>
          <w:b w:val="0"/>
          <w:i w:val="0"/>
        </w:rPr>
        <w:t xml:space="preserve"> </w:t>
      </w:r>
      <w:r>
        <w:rPr>
          <w:b w:val="0"/>
          <w:i w:val="0"/>
        </w:rPr>
        <w:t xml:space="preserve"> </w:t>
      </w:r>
      <w:r>
        <w:rPr>
          <w:b w:val="0"/>
          <w:i w:val="0"/>
        </w:rPr>
        <w:t>°C</w:t>
      </w:r>
    </w:p>
    <w:p>
      <w:pPr/>
      <w:r>
        <w:rPr>
          <w:b w:val="0"/>
          <w:i w:val="0"/>
        </w:rPr>
        <w:t>Pull speed</w:t>
      </w:r>
      <w:r>
        <w:t xml:space="preserve">: </w:t>
      </w:r>
      <w:r>
        <w:rPr>
          <w:b w:val="0"/>
          <w:i w:val="0"/>
        </w:rPr>
        <w:t>10</w:t>
      </w:r>
      <w:r>
        <w:rPr>
          <w:b w:val="0"/>
          <w:i w:val="0"/>
        </w:rPr>
        <w:t xml:space="preserve"> </w:t>
      </w:r>
      <w:r>
        <w:rPr>
          <w:b w:val="0"/>
          <w:i w:val="0"/>
        </w:rPr>
        <w:t xml:space="preserve"> </w:t>
      </w:r>
      <w:r>
        <w:rPr>
          <w:b w:val="0"/>
          <w:i w:val="0"/>
        </w:rPr>
        <w:t xml:space="preserve"> </w:t>
      </w:r>
      <w:r>
        <w:rPr>
          <w:b w:val="0"/>
          <w:i w:val="0"/>
        </w:rPr>
        <w:t>mm/min</w:t>
      </w:r>
    </w:p>
    <w:p>
      <w:pPr/>
      <w:r>
        <w:rPr>
          <w:b w:val="0"/>
          <w:i w:val="0"/>
        </w:rPr>
        <w:t>Time cursor</w:t>
      </w:r>
      <w:r>
        <w:t xml:space="preserve">: </w:t>
      </w:r>
      <w:r>
        <w:rPr>
          <w:b w:val="0"/>
          <w:i w:val="0"/>
        </w:rPr>
        <w:t>30</w:t>
      </w:r>
      <w:r>
        <w:rPr>
          <w:b w:val="0"/>
          <w:i w:val="0"/>
        </w:rPr>
        <w:t xml:space="preserve"> </w:t>
      </w:r>
      <w:r>
        <w:rPr>
          <w:b w:val="0"/>
          <w:i w:val="0"/>
        </w:rPr>
        <w:t xml:space="preserve"> </w:t>
      </w:r>
      <w:r>
        <w:rPr>
          <w:b w:val="0"/>
          <w:i w:val="0"/>
        </w:rPr>
        <w:t xml:space="preserve"> </w:t>
      </w:r>
      <w:r>
        <w:rPr>
          <w:b w:val="0"/>
          <w:i w:val="0"/>
        </w:rPr>
        <w:t>min</w:t>
      </w:r>
    </w:p>
    <w:p>
      <w:r>
        <w:t>Show length instead of time</w:t>
      </w:r>
    </w:p>
    <w:p>
      <w:pPr>
        <w:keepNext w:val="0"/>
        <w:jc w:val="center"/>
      </w:pPr>
      <w:r>
        <w:drawing>
          <wp:inline xmlns:a="http://schemas.openxmlformats.org/drawingml/2006/main" xmlns:pic="http://schemas.openxmlformats.org/drawingml/2006/picture">
            <wp:extent cx="6217920" cy="3008671"/>
            <wp:docPr id="44" name="Picture 44" descr="CDS workflow or model illustration"/>
            <wp:cNvGraphicFramePr>
              <a:graphicFrameLocks noChangeAspect="1"/>
            </wp:cNvGraphicFramePr>
            <a:graphic>
              <a:graphicData uri="http://schemas.openxmlformats.org/drawingml/2006/picture">
                <pic:pic>
                  <pic:nvPicPr>
                    <pic:cNvPr id="0" name="rsvg-859d77426e4a327be598b4169882a9deaecd9260214eeb8ef33932eff7c1ad11.png"/>
                    <pic:cNvPicPr/>
                  </pic:nvPicPr>
                  <pic:blipFill>
                    <a:blip r:embed="rId64"/>
                    <a:stretch>
                      <a:fillRect/>
                    </a:stretch>
                  </pic:blipFill>
                  <pic:spPr>
                    <a:xfrm>
                      <a:off x="0" y="0"/>
                      <a:ext cx="6217920" cy="3008671"/>
                    </a:xfrm>
                    <a:prstGeom prst="rect"/>
                  </pic:spPr>
                </pic:pic>
              </a:graphicData>
            </a:graphic>
          </wp:inline>
        </w:drawing>
      </w:r>
    </w:p>
    <w:p>
      <w:pPr/>
      <w:r>
        <w:rPr>
          <w:b w:val="0"/>
          <w:i w:val="0"/>
        </w:rPr>
        <w:t>Cursor: 30 min · 300 mm · 120.0 °C</w:t>
      </w:r>
    </w:p>
    <w:p>
      <w:pPr/>
      <w:hyperlink r:id="rId14">
        <w:r>
          <w:rPr>
            <w:color w:val="176EA4"/>
          </w:rPr>
          <w:t>All exercises, case studies and simulation examples →</w:t>
        </w:r>
      </w:hyperlink>
      <w:r>
        <w:t xml:space="preserve"> </w:t>
      </w:r>
      <w:r>
        <w:rPr>
          <w:b w:val="0"/>
          <w:i w:val="0"/>
        </w:rPr>
        <w:t xml:space="preserve"> · </w:t>
      </w:r>
      <w:hyperlink r:id="rId12">
        <w:r>
          <w:rPr>
            <w:color w:val="176EA4"/>
          </w:rPr>
          <w:t>Your CDS library: overview, manuals and database downloads →</w:t>
        </w:r>
      </w:hyperlink>
      <w:r>
        <w:t xml:space="preserve"> </w:t>
      </w:r>
    </w:p>
    <w:p>
      <w:pPr>
        <w:pStyle w:val="Heading2"/>
      </w:pPr>
      <w:r>
        <w:t>Choose the run in the SIMULATION block</w:t>
      </w:r>
    </w:p>
    <w:p>
      <w:pPr/>
      <w:r>
        <w:rPr>
          <w:b w:val="0"/>
          <w:i w:val="0"/>
        </w:rPr>
        <w:t>SIMULATION is the control point for the run. Select a Thermal case, Moisture case, Mechanical case and EM case, or None in any slot. Each selected case shows its analysis model, laminate and applicable geometry.</w:t>
      </w:r>
    </w:p>
    <w:p>
      <w:pPr>
        <w:pStyle w:val="ListBullet"/>
      </w:pPr>
      <w:r>
        <w:rPr>
          <w:b w:val="0"/>
          <w:i w:val="0"/>
        </w:rPr>
        <w:t>Keep candidate records in the surrounding blocks. Adding a candidate does not select it for execution.</w:t>
      </w:r>
    </w:p>
    <w:p>
      <w:pPr>
        <w:pStyle w:val="ListBullet"/>
      </w:pPr>
      <w:r>
        <w:rPr>
          <w:b w:val="0"/>
          <w:i w:val="0"/>
        </w:rPr>
        <w:t>Select the required cases in SIMULATION and review their inputs before Run. At least one case is required.</w:t>
      </w:r>
    </w:p>
    <w:p>
      <w:pPr>
        <w:pStyle w:val="ListBullet"/>
      </w:pPr>
      <w:r>
        <w:rPr>
          <w:b w:val="0"/>
          <w:i w:val="0"/>
        </w:rPr>
        <w:t>Use the same laminate for a supported combined run. Run standalone studies separately with the other selectors set to None.</w:t>
      </w:r>
    </w:p>
    <w:p>
      <w:pPr>
        <w:pStyle w:val="ListBullet"/>
      </w:pPr>
      <w:r>
        <w:rPr>
          <w:b w:val="0"/>
          <w:i w:val="0"/>
        </w:rPr>
        <w:t>Run executes the selected combination. A connection or Used marker is not evidence of a successful solve.</w:t>
      </w:r>
    </w:p>
    <w:p>
      <w:pPr>
        <w:keepNext/>
      </w:pPr>
      <w:r>
        <w:t>Good practice</w:t>
      </w:r>
    </w:p>
    <w:p>
      <w:pPr/>
      <w:r>
        <w:rPr>
          <w:b w:val="0"/>
          <w:i w:val="0"/>
        </w:rPr>
        <w:t>Selecting several cases does not add unsupported physics coupling. EM screening studies do not automatically heat the thermal case.</w:t>
      </w:r>
    </w:p>
    <w:p>
      <w:pPr>
        <w:pStyle w:val="Heading2"/>
      </w:pPr>
      <w:r>
        <w:t>Review every downstream geometry dependency</w:t>
      </w:r>
    </w:p>
    <w:p>
      <w:pPr/>
      <w:r>
        <w:rPr>
          <w:b w:val="0"/>
          <w:i w:val="0"/>
        </w:rPr>
        <w:t>A geometry record can be shared by several cases and simulations. Editing its dimensions or type affects all linked consumers, including studies that are not currently open. Unrelated records are unchanged.</w:t>
      </w:r>
    </w:p>
    <w:p>
      <w:pPr>
        <w:pStyle w:val="ListBullet"/>
      </w:pPr>
      <w:r>
        <w:rPr>
          <w:b w:val="0"/>
          <w:i w:val="0"/>
        </w:rPr>
        <w:t>After editing geometry, open Solver messages and expand Review affected cases and simulations. Select a linked name to inspect that record.</w:t>
      </w:r>
    </w:p>
    <w:p>
      <w:pPr>
        <w:pStyle w:val="ListBullet"/>
      </w:pPr>
      <w:r>
        <w:rPr>
          <w:b w:val="0"/>
          <w:i w:val="0"/>
        </w:rPr>
        <w:t>Check the selected model, load basis, dimensions and boundary conditions. Loads are not automatically replaced when the geometry changes.</w:t>
      </w:r>
    </w:p>
    <w:p>
      <w:pPr>
        <w:pStyle w:val="ListBullet"/>
      </w:pPr>
      <w:r>
        <w:rPr>
          <w:b w:val="0"/>
          <w:i w:val="0"/>
        </w:rPr>
        <w:t>Resolve incompatible geometry and model combinations before running. An I-section does not turn a plate theory into a beam theory.</w:t>
      </w:r>
    </w:p>
    <w:p>
      <w:pPr>
        <w:pStyle w:val="ListBullet"/>
      </w:pPr>
      <w:r>
        <w:rPr>
          <w:b w:val="0"/>
          <w:i w:val="0"/>
        </w:rPr>
        <w:t>Rerun affected simulations before relying on previous results. Inputs changed warnings indicate that stored results no longer match their connected inputs.</w:t>
      </w:r>
    </w:p>
    <w:p>
      <w:pPr>
        <w:keepNext/>
      </w:pPr>
      <w:r>
        <w:t>Good practice</w:t>
      </w:r>
    </w:p>
    <w:p>
      <w:pPr/>
      <w:r>
        <w:rPr>
          <w:b w:val="0"/>
          <w:i w:val="0"/>
        </w:rPr>
        <w:t>Geometry affects only dimensions consumed by the selected model. One-dimensional transport retains its through-thickness assumptions; standalone studies may own their dimensions. Under fixed total edge loads, changing plate width changes force per unit width. Under prescribed resultants, it does not.</w:t>
      </w:r>
    </w:p>
    <w:p>
      <w:pPr>
        <w:pStyle w:val="Heading2"/>
      </w:pPr>
      <w:r>
        <w:t>Read the blue Used marker</w:t>
      </w:r>
    </w:p>
    <w:p>
      <w:pPr/>
      <w:r>
        <w:rPr>
          <w:b w:val="0"/>
          <w:i w:val="0"/>
        </w:rPr>
        <w:t>Connected, available record selections have a soft blue glow and a Used marker in the corner. Hover or focus the marker to see which downstream record and field uses that input.</w:t>
      </w:r>
    </w:p>
    <w:p>
      <w:pPr>
        <w:pStyle w:val="ListBullet"/>
      </w:pPr>
      <w:r>
        <w:rPr>
          <w:b w:val="0"/>
          <w:i w:val="0"/>
        </w:rPr>
        <w:t>Check the marker before editing a shared input: more than one case can consume it.</w:t>
      </w:r>
    </w:p>
    <w:p>
      <w:pPr>
        <w:pStyle w:val="ListBullet"/>
      </w:pPr>
      <w:r>
        <w:rPr>
          <w:b w:val="0"/>
          <w:i w:val="0"/>
        </w:rPr>
        <w:t>A Used marker means connected, not solved or validated. Review solver status and outdated-result warnings separately.</w:t>
      </w:r>
    </w:p>
    <w:p>
      <w:pPr>
        <w:pStyle w:val="ListBullet"/>
      </w:pPr>
      <w:r>
        <w:rPr>
          <w:b w:val="0"/>
          <w:i w:val="0"/>
        </w:rPr>
        <w:t>Missing or incompatible selections need repair; do not interpret an empty result as zero response.</w:t>
      </w:r>
    </w:p>
    <w:p>
      <w:pPr>
        <w:pStyle w:val="Heading2"/>
      </w:pPr>
      <w:r>
        <w:t>Add replace or disconnect a block input</w:t>
      </w:r>
    </w:p>
    <w:p>
      <w:pPr/>
      <w:r>
        <w:rPr>
          <w:b w:val="0"/>
          <w:i w:val="0"/>
        </w:rPr>
        <w:t>The + control adds another available record to a block, excluding records already present. Use that record row dropdown to change the candidate, its link to open it, and − to remove it from the block. Library records are not deleted.</w:t>
      </w:r>
    </w:p>
    <w:p>
      <w:pPr>
        <w:pStyle w:val="ListBullet"/>
      </w:pPr>
      <w:r>
        <w:rPr>
          <w:b w:val="0"/>
          <w:i w:val="0"/>
        </w:rPr>
        <w:t>Choose + and search for a compatible candidate not already in the block. Decide what actually runs with the four selectors in SIMULATION.</w:t>
      </w:r>
    </w:p>
    <w:p>
      <w:pPr>
        <w:pStyle w:val="ListBullet"/>
      </w:pPr>
      <w:r>
        <w:rPr>
          <w:b w:val="0"/>
          <w:i w:val="0"/>
        </w:rPr>
        <w:t>If no compatible record exists, create one in Inputs. Each case owns its analysis model and applicable cycle. There is no separate Process block to connect.</w:t>
      </w:r>
    </w:p>
    <w:p>
      <w:pPr>
        <w:pStyle w:val="ListBullet"/>
      </w:pPr>
      <w:r>
        <w:rPr>
          <w:b w:val="0"/>
          <w:i w:val="0"/>
        </w:rPr>
        <w:t>A used input must first be disconnected or changed at its consuming field. Review downstream warnings before confirming a removal; cancel to keep it.</w:t>
      </w:r>
    </w:p>
    <w:p>
      <w:pPr>
        <w:pStyle w:val="ListBullet"/>
      </w:pPr>
      <w:r>
        <w:rPr>
          <w:b w:val="0"/>
          <w:i w:val="0"/>
        </w:rPr>
        <w:t>After removal, required missing inputs remain flagged and their selectors allow reconnection. Optional cases may stay disconnected. Rerun affected analyses before relying on their results.</w:t>
      </w:r>
    </w:p>
    <w:p>
      <w:pPr>
        <w:keepNext/>
      </w:pPr>
      <w:r>
        <w:t>Good practice</w:t>
      </w:r>
    </w:p>
    <w:p>
      <w:pPr/>
      <w:r>
        <w:rPr>
          <w:b w:val="0"/>
          <w:i w:val="0"/>
        </w:rPr>
        <w:t>Disconnecting a shared laminate input may affect several cases. Removing a ply-source connection preserves the other ply sources, angles and thicknesses; it does not delete the ply stack.</w:t>
      </w:r>
    </w:p>
    <w:p>
      <w:pPr>
        <w:pStyle w:val="Heading2"/>
      </w:pPr>
      <w:r>
        <w:t>Create a case with its own cycle</w:t>
      </w:r>
    </w:p>
    <w:p>
      <w:pPr/>
      <w:r>
        <w:rPr>
          <w:b w:val="0"/>
          <w:i w:val="0"/>
        </w:rPr>
        <w:t>Choose a Thermal, Moisture, Mechanical or EM case. Each case selects one analysis model and owns its applicable conditions and cycle. There is no separate Process block.</w:t>
      </w:r>
    </w:p>
    <w:p>
      <w:pPr>
        <w:keepNext/>
        <w:jc w:val="center"/>
      </w:pPr>
      <w:r>
        <w:drawing>
          <wp:inline xmlns:a="http://schemas.openxmlformats.org/drawingml/2006/main" xmlns:pic="http://schemas.openxmlformats.org/drawingml/2006/picture">
            <wp:extent cx="6217920" cy="2573642"/>
            <wp:docPr id="45" name="Picture 45" descr="Earlier cycle editor shown for reference. In the current interface, open the Thermal case and edit its own Initial conditions, Upper and Lower tabs; no separate Process record is needed."/>
            <wp:cNvGraphicFramePr>
              <a:graphicFrameLocks noChangeAspect="1"/>
            </wp:cNvGraphicFramePr>
            <a:graphic>
              <a:graphicData uri="http://schemas.openxmlformats.org/drawingml/2006/picture">
                <pic:pic>
                  <pic:nvPicPr>
                    <pic:cNvPr id="0" name="2e1317e4d9227ab8250a4f9001f954569919ab19756b31f49db3855f2406db9d.png"/>
                    <pic:cNvPicPr/>
                  </pic:nvPicPr>
                  <pic:blipFill>
                    <a:blip r:embed="rId46"/>
                    <a:stretch>
                      <a:fillRect/>
                    </a:stretch>
                  </pic:blipFill>
                  <pic:spPr>
                    <a:xfrm>
                      <a:off x="0" y="0"/>
                      <a:ext cx="6217920" cy="2573642"/>
                    </a:xfrm>
                    <a:prstGeom prst="rect"/>
                  </pic:spPr>
                </pic:pic>
              </a:graphicData>
            </a:graphic>
          </wp:inline>
        </w:drawing>
      </w:r>
    </w:p>
    <w:p>
      <w:pPr>
        <w:pStyle w:val="Caption"/>
      </w:pPr>
      <w:r>
        <w:rPr>
          <w:b w:val="0"/>
          <w:i w:val="0"/>
        </w:rPr>
        <w:t>Earlier cycle editor shown for reference. In the current interface, open the Thermal case and edit its own Initial conditions, Upper and Lower tabs; no separate Process record is needed.</w:t>
      </w:r>
      <w:r>
        <w:rPr>
          <w:b w:val="0"/>
          <w:i w:val="0"/>
        </w:rPr>
        <w:t xml:space="preserve"> </w:t>
      </w:r>
      <w:r>
        <w:rPr>
          <w:b w:val="0"/>
          <w:i w:val="0"/>
        </w:rPr>
        <w:t xml:space="preserve"> </w:t>
      </w:r>
      <w:hyperlink r:id="rId47">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pStyle w:val="Heading2"/>
      </w:pPr>
      <w:r>
        <w:t>Edit the cycle inside the case</w:t>
      </w:r>
    </w:p>
    <w:p>
      <w:pPr/>
      <w:r>
        <w:rPr>
          <w:b w:val="0"/>
          <w:i w:val="0"/>
        </w:rPr>
        <w:t>In a thermal case, use Initial conditions for analysis setup and the Upper and Lower tabs for independent surface schedules. Set each surface condition and film coefficient in this case. Moisture and mechanical schedules belong to their own cases and do not share the thermal cycle.</w:t>
      </w:r>
    </w:p>
    <w:p>
      <w:pPr>
        <w:pStyle w:val="ListBullet"/>
      </w:pPr>
      <w:r>
        <w:rPr>
          <w:b w:val="0"/>
          <w:i w:val="0"/>
        </w:rPr>
        <w:t>Enter monotonically increasing time values.</w:t>
      </w:r>
      <w:r>
        <w:rPr>
          <w:b w:val="0"/>
          <w:i w:val="0"/>
        </w:rPr>
        <w:t xml:space="preserve"> </w:t>
      </w:r>
      <w:r>
        <w:rPr>
          <w:b w:val="0"/>
          <w:i w:val="0"/>
        </w:rPr>
        <w:t xml:space="preserve"> </w:t>
      </w:r>
      <w:hyperlink r:id="rId65">
        <w:r>
          <w:rPr>
            <w:color w:val="176EA4"/>
          </w:rPr>
          <w:t>See screenshot</w:t>
        </w:r>
      </w:hyperlink>
      <w:r>
        <w:t xml:space="preserve"> </w:t>
      </w:r>
    </w:p>
    <w:p>
      <w:pPr>
        <w:pStyle w:val="ListBullet"/>
      </w:pPr>
      <w:r>
        <w:rPr>
          <w:b w:val="0"/>
          <w:i w:val="0"/>
        </w:rPr>
        <w:t>Enter temperature and pressure for each step.</w:t>
      </w:r>
      <w:r>
        <w:rPr>
          <w:b w:val="0"/>
          <w:i w:val="0"/>
        </w:rPr>
        <w:t xml:space="preserve"> </w:t>
      </w:r>
      <w:r>
        <w:rPr>
          <w:b w:val="0"/>
          <w:i w:val="0"/>
        </w:rPr>
        <w:t xml:space="preserve"> </w:t>
      </w:r>
      <w:hyperlink r:id="rId65">
        <w:r>
          <w:rPr>
            <w:color w:val="176EA4"/>
          </w:rPr>
          <w:t>See screenshot</w:t>
        </w:r>
      </w:hyperlink>
      <w:r>
        <w:t xml:space="preserve"> </w:t>
      </w:r>
    </w:p>
    <w:p>
      <w:pPr>
        <w:pStyle w:val="ListBullet"/>
      </w:pPr>
      <w:r>
        <w:rPr>
          <w:b w:val="0"/>
          <w:i w:val="0"/>
        </w:rPr>
        <w:t>Set upper and lower boundary types and values.</w:t>
      </w:r>
      <w:r>
        <w:rPr>
          <w:b w:val="0"/>
          <w:i w:val="0"/>
        </w:rPr>
        <w:t xml:space="preserve"> </w:t>
      </w:r>
      <w:r>
        <w:rPr>
          <w:b w:val="0"/>
          <w:i w:val="0"/>
        </w:rPr>
        <w:t xml:space="preserve"> </w:t>
      </w:r>
      <w:hyperlink r:id="rId65">
        <w:r>
          <w:rPr>
            <w:color w:val="176EA4"/>
          </w:rPr>
          <w:t>See screenshot</w:t>
        </w:r>
      </w:hyperlink>
      <w:r>
        <w:t xml:space="preserve"> </w:t>
      </w:r>
    </w:p>
    <w:p>
      <w:pPr>
        <w:pStyle w:val="ListBullet"/>
      </w:pPr>
      <w:r>
        <w:rPr>
          <w:b w:val="0"/>
          <w:i w:val="0"/>
        </w:rPr>
        <w:t>Inspect the plot beside the table for discontinuities or unit errors.</w:t>
      </w:r>
      <w:r>
        <w:rPr>
          <w:b w:val="0"/>
          <w:i w:val="0"/>
        </w:rPr>
        <w:t xml:space="preserve"> </w:t>
      </w:r>
      <w:r>
        <w:rPr>
          <w:b w:val="0"/>
          <w:i w:val="0"/>
        </w:rPr>
        <w:t xml:space="preserve"> </w:t>
      </w:r>
      <w:hyperlink r:id="rId65">
        <w:r>
          <w:rPr>
            <w:color w:val="176EA4"/>
          </w:rPr>
          <w:t>See screenshot</w:t>
        </w:r>
      </w:hyperlink>
      <w:r>
        <w:t xml:space="preserve"> </w:t>
      </w:r>
    </w:p>
    <w:p>
      <w:pPr>
        <w:keepNext/>
        <w:jc w:val="center"/>
      </w:pPr>
      <w:r>
        <w:drawing>
          <wp:inline xmlns:a="http://schemas.openxmlformats.org/drawingml/2006/main" xmlns:pic="http://schemas.openxmlformats.org/drawingml/2006/picture">
            <wp:extent cx="6217920" cy="2573642"/>
            <wp:docPr id="46" name="Picture 46" descr="Enter time, temperature, boundary condition and shared pressure by row. Switch Upper/Lower Boundary for the second surface; compare both temperature curves on the right."/>
            <wp:cNvGraphicFramePr>
              <a:graphicFrameLocks noChangeAspect="1"/>
            </wp:cNvGraphicFramePr>
            <a:graphic>
              <a:graphicData uri="http://schemas.openxmlformats.org/drawingml/2006/picture">
                <pic:pic>
                  <pic:nvPicPr>
                    <pic:cNvPr id="0" name="2e1317e4d9227ab8250a4f9001f954569919ab19756b31f49db3855f2406db9d.png"/>
                    <pic:cNvPicPr/>
                  </pic:nvPicPr>
                  <pic:blipFill>
                    <a:blip r:embed="rId46"/>
                    <a:stretch>
                      <a:fillRect/>
                    </a:stretch>
                  </pic:blipFill>
                  <pic:spPr>
                    <a:xfrm>
                      <a:off x="0" y="0"/>
                      <a:ext cx="6217920" cy="2573642"/>
                    </a:xfrm>
                    <a:prstGeom prst="rect"/>
                  </pic:spPr>
                </pic:pic>
              </a:graphicData>
            </a:graphic>
          </wp:inline>
        </w:drawing>
      </w:r>
    </w:p>
    <w:p>
      <w:pPr>
        <w:pStyle w:val="Caption"/>
      </w:pPr>
      <w:r>
        <w:rPr>
          <w:b/>
          <w:i w:val="0"/>
        </w:rPr>
        <w:t xml:space="preserve">Steps </w:t>
      </w:r>
      <w:r>
        <w:rPr>
          <w:b/>
          <w:i w:val="0"/>
        </w:rPr>
        <w:t xml:space="preserve"> </w:t>
      </w:r>
      <w:r>
        <w:rPr>
          <w:b/>
          <w:i w:val="0"/>
        </w:rPr>
        <w:t>1, 2, 3, 4</w:t>
      </w:r>
      <w:r>
        <w:rPr>
          <w:b/>
          <w:i w:val="0"/>
        </w:rPr>
        <w:t xml:space="preserve"> </w:t>
      </w:r>
      <w:r>
        <w:rPr>
          <w:b/>
          <w:i w:val="0"/>
        </w:rPr>
        <w:t xml:space="preserve"> · </w:t>
      </w:r>
      <w:r>
        <w:rPr>
          <w:b w:val="0"/>
          <w:i w:val="0"/>
        </w:rPr>
        <w:t>Enter time, temperature, boundary condition and shared pressure by row. Switch Upper/Lower Boundary for the second surface; compare both temperature curves on the right.</w:t>
      </w:r>
      <w:r>
        <w:rPr>
          <w:b w:val="0"/>
          <w:i w:val="0"/>
        </w:rPr>
        <w:t xml:space="preserve"> </w:t>
      </w:r>
      <w:r>
        <w:rPr>
          <w:b w:val="0"/>
          <w:i w:val="0"/>
        </w:rPr>
        <w:t xml:space="preserve"> </w:t>
      </w:r>
      <w:hyperlink r:id="rId47">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pStyle w:val="Heading2"/>
      </w:pPr>
      <w:r>
        <w:t>Assemble a simulation input record</w:t>
      </w:r>
    </w:p>
    <w:p>
      <w:pPr/>
      <w:r>
        <w:rPr>
          <w:b w:val="0"/>
          <w:i w:val="0"/>
        </w:rPr>
        <w:t>In SIMULATION select Thermal, Moisture, Mechanical and EM cases, each with None available. The other blocks hold used and available records. Check the model, laminate and applicable geometry beneath each selected case.</w:t>
      </w:r>
    </w:p>
    <w:p>
      <w:pPr>
        <w:keepNext/>
        <w:jc w:val="center"/>
      </w:pPr>
      <w:r>
        <w:drawing>
          <wp:inline xmlns:a="http://schemas.openxmlformats.org/drawingml/2006/main" xmlns:pic="http://schemas.openxmlformats.org/drawingml/2006/picture">
            <wp:extent cx="6217920" cy="4897347"/>
            <wp:docPr id="47" name="Picture 47" descr="Simulation combines the earlier Solve and Summary views; this capture shows the linked laminate, geometry, process cycle and coupled analysis selectors. Review every required reference; a blank selector is not a completed connection."/>
            <wp:cNvGraphicFramePr>
              <a:graphicFrameLocks noChangeAspect="1"/>
            </wp:cNvGraphicFramePr>
            <a:graphic>
              <a:graphicData uri="http://schemas.openxmlformats.org/drawingml/2006/picture">
                <pic:pic>
                  <pic:nvPicPr>
                    <pic:cNvPr id="0" name="3e4919cb93ecd9e289678ee90a91fc92d8494fb6fad77bf561f1f4a89382fe84.png"/>
                    <pic:cNvPicPr/>
                  </pic:nvPicPr>
                  <pic:blipFill>
                    <a:blip r:embed="rId19"/>
                    <a:stretch>
                      <a:fillRect/>
                    </a:stretch>
                  </pic:blipFill>
                  <pic:spPr>
                    <a:xfrm>
                      <a:off x="0" y="0"/>
                      <a:ext cx="6217920" cy="4897347"/>
                    </a:xfrm>
                    <a:prstGeom prst="rect"/>
                  </pic:spPr>
                </pic:pic>
              </a:graphicData>
            </a:graphic>
          </wp:inline>
        </w:drawing>
      </w:r>
    </w:p>
    <w:p>
      <w:pPr>
        <w:pStyle w:val="Caption"/>
      </w:pPr>
      <w:r>
        <w:rPr>
          <w:b w:val="0"/>
          <w:i w:val="0"/>
        </w:rPr>
        <w:t>Simulation combines the earlier Solve and Summary views; this capture shows the linked laminate, geometry, process cycle and coupled analysis selectors. Review every required reference; a blank selector is not a completed connection.</w:t>
      </w:r>
      <w:r>
        <w:rPr>
          <w:b w:val="0"/>
          <w:i w:val="0"/>
        </w:rPr>
        <w:t xml:space="preserve"> </w:t>
      </w:r>
      <w:r>
        <w:rPr>
          <w:b w:val="0"/>
          <w:i w:val="0"/>
        </w:rPr>
        <w:t xml:space="preserve"> </w:t>
      </w:r>
      <w:hyperlink r:id="rId20">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pStyle w:val="Heading2"/>
      </w:pPr>
      <w:r>
        <w:t>Review the LiveLoad schematic</w:t>
      </w:r>
    </w:p>
    <w:p>
      <w:pPr/>
      <w:r>
        <w:rPr>
          <w:b w:val="0"/>
          <w:i w:val="0"/>
        </w:rPr>
        <w:t>The LiveLoad block appears beside Loads and Thermal inputs for analysis cases. Its plate, cylinder, or thermal schematic updates with the selected geometry, boundary conditions, loads, and directions. A zero-valued load vector is greyed so active loading is immediately recognizable.</w:t>
      </w:r>
    </w:p>
    <w:p>
      <w:pPr>
        <w:pStyle w:val="Heading2"/>
      </w:pPr>
      <w:r>
        <w:t>Run the model</w:t>
      </w:r>
    </w:p>
    <w:p>
      <w:pPr/>
      <w:r>
        <w:rPr>
          <w:b w:val="0"/>
          <w:i w:val="0"/>
        </w:rPr>
        <w:t>Resolve missing selections, invalid numbers, broken references, invalid ply angles, and zero laminate thickness before choosing Run. Use the Simulation workflow for a final dependency and model check.</w:t>
      </w:r>
    </w:p>
    <w:p>
      <w:pPr>
        <w:pStyle w:val="ListBullet"/>
      </w:pPr>
      <w:r>
        <w:rPr>
          <w:b w:val="0"/>
          <w:i w:val="0"/>
        </w:rPr>
        <w:t>Confirm the LiveLoad schematic matches the intended model.</w:t>
      </w:r>
    </w:p>
    <w:p>
      <w:pPr>
        <w:pStyle w:val="ListBullet"/>
      </w:pPr>
      <w:r>
        <w:rPr>
          <w:b w:val="0"/>
          <w:i w:val="0"/>
        </w:rPr>
        <w:t>Keep the desired Results tab selected.</w:t>
      </w:r>
      <w:r>
        <w:rPr>
          <w:b w:val="0"/>
          <w:i w:val="0"/>
        </w:rPr>
        <w:t xml:space="preserve"> </w:t>
      </w:r>
      <w:r>
        <w:rPr>
          <w:b w:val="0"/>
          <w:i w:val="0"/>
        </w:rPr>
        <w:t xml:space="preserve"> </w:t>
      </w:r>
      <w:hyperlink r:id="rId66">
        <w:r>
          <w:rPr>
            <w:color w:val="176EA4"/>
          </w:rPr>
          <w:t>See screenshot</w:t>
        </w:r>
      </w:hyperlink>
      <w:r>
        <w:t xml:space="preserve"> </w:t>
      </w:r>
    </w:p>
    <w:p>
      <w:pPr>
        <w:pStyle w:val="ListBullet"/>
      </w:pPr>
      <w:r>
        <w:rPr>
          <w:b w:val="0"/>
          <w:i w:val="0"/>
        </w:rPr>
        <w:t>Choose Run when required; the interface preserves that tab while the model executes.</w:t>
      </w:r>
      <w:r>
        <w:rPr>
          <w:b w:val="0"/>
          <w:i w:val="0"/>
        </w:rPr>
        <w:t xml:space="preserve"> </w:t>
      </w:r>
      <w:r>
        <w:rPr>
          <w:b w:val="0"/>
          <w:i w:val="0"/>
        </w:rPr>
        <w:t xml:space="preserve"> </w:t>
      </w:r>
      <w:hyperlink r:id="rId66">
        <w:r>
          <w:rPr>
            <w:color w:val="176EA4"/>
          </w:rPr>
          <w:t>See screenshot</w:t>
        </w:r>
      </w:hyperlink>
      <w:r>
        <w:t xml:space="preserve"> </w:t>
      </w:r>
    </w:p>
    <w:p>
      <w:pPr>
        <w:pStyle w:val="ListBullet"/>
      </w:pPr>
      <w:r>
        <w:rPr>
          <w:b w:val="0"/>
          <w:i w:val="0"/>
        </w:rPr>
        <w:t>Review result values, freshness and solver messages.</w:t>
      </w:r>
    </w:p>
    <w:p>
      <w:pPr>
        <w:keepNext/>
        <w:jc w:val="center"/>
      </w:pPr>
      <w:r>
        <w:drawing>
          <wp:inline xmlns:a="http://schemas.openxmlformats.org/drawingml/2006/main" xmlns:pic="http://schemas.openxmlformats.org/drawingml/2006/picture">
            <wp:extent cx="6217920" cy="4897347"/>
            <wp:docPr id="48" name="Picture 48" descr="Check the simulation references in Simulation (shown as Solve in this capture), select the intended output tab below, then use Run at the right."/>
            <wp:cNvGraphicFramePr>
              <a:graphicFrameLocks noChangeAspect="1"/>
            </wp:cNvGraphicFramePr>
            <a:graphic>
              <a:graphicData uri="http://schemas.openxmlformats.org/drawingml/2006/picture">
                <pic:pic>
                  <pic:nvPicPr>
                    <pic:cNvPr id="0" name="3e4919cb93ecd9e289678ee90a91fc92d8494fb6fad77bf561f1f4a89382fe84.png"/>
                    <pic:cNvPicPr/>
                  </pic:nvPicPr>
                  <pic:blipFill>
                    <a:blip r:embed="rId19"/>
                    <a:stretch>
                      <a:fillRect/>
                    </a:stretch>
                  </pic:blipFill>
                  <pic:spPr>
                    <a:xfrm>
                      <a:off x="0" y="0"/>
                      <a:ext cx="6217920" cy="4897347"/>
                    </a:xfrm>
                    <a:prstGeom prst="rect"/>
                  </pic:spPr>
                </pic:pic>
              </a:graphicData>
            </a:graphic>
          </wp:inline>
        </w:drawing>
      </w:r>
    </w:p>
    <w:p>
      <w:pPr>
        <w:pStyle w:val="Caption"/>
      </w:pPr>
      <w:r>
        <w:rPr>
          <w:b/>
          <w:i w:val="0"/>
        </w:rPr>
        <w:t xml:space="preserve">Steps </w:t>
      </w:r>
      <w:r>
        <w:rPr>
          <w:b/>
          <w:i w:val="0"/>
        </w:rPr>
        <w:t xml:space="preserve"> </w:t>
      </w:r>
      <w:r>
        <w:rPr>
          <w:b/>
          <w:i w:val="0"/>
        </w:rPr>
        <w:t>2, 3</w:t>
      </w:r>
      <w:r>
        <w:rPr>
          <w:b/>
          <w:i w:val="0"/>
        </w:rPr>
        <w:t xml:space="preserve"> </w:t>
      </w:r>
      <w:r>
        <w:rPr>
          <w:b/>
          <w:i w:val="0"/>
        </w:rPr>
        <w:t xml:space="preserve"> · </w:t>
      </w:r>
      <w:r>
        <w:rPr>
          <w:b w:val="0"/>
          <w:i w:val="0"/>
        </w:rPr>
        <w:t>Check the simulation references in Simulation (shown as Solve in this capture), select the intended output tab below, then use Run at the right.</w:t>
      </w:r>
      <w:r>
        <w:rPr>
          <w:b w:val="0"/>
          <w:i w:val="0"/>
        </w:rPr>
        <w:t xml:space="preserve"> </w:t>
      </w:r>
      <w:r>
        <w:rPr>
          <w:b w:val="0"/>
          <w:i w:val="0"/>
        </w:rPr>
        <w:t xml:space="preserve"> </w:t>
      </w:r>
      <w:hyperlink r:id="rId20">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pStyle w:val="Heading2"/>
      </w:pPr>
      <w:r>
        <w:t>Understand solver provenance</w:t>
      </w:r>
    </w:p>
    <w:p>
      <w:pPr/>
      <w:r>
        <w:rPr>
          <w:b w:val="0"/>
          <w:i w:val="0"/>
        </w:rPr>
        <w:t>Workbench uses its embedded production solver when no external solver endpoint is configured. When an external endpoint is configured, a timeout, rejected request or incompatible response is reported as an error; it is not silently replaced by a successful fallback result.</w:t>
      </w:r>
    </w:p>
    <w:p>
      <w:pPr>
        <w:keepNext/>
      </w:pPr>
      <w:r>
        <w:t>Good practice</w:t>
      </w:r>
    </w:p>
    <w:p>
      <w:pPr/>
      <w:r>
        <w:rPr>
          <w:b w:val="0"/>
          <w:i w:val="0"/>
        </w:rPr>
        <w:t>Keep run context, inputs and solver messages with exported evidence. The compiled Web r18 integration manuals describe a separate deployment contract, not every hosted Workbench calculation.</w:t>
      </w:r>
    </w:p>
    <w:p>
      <w:pPr>
        <w:pStyle w:val="Heading2"/>
      </w:pPr>
      <w:r>
        <w:t>Check thermal setup and accuracy</w:t>
      </w:r>
    </w:p>
    <w:p>
      <w:pPr/>
      <w:r>
        <w:rPr>
          <w:b w:val="0"/>
          <w:i w:val="0"/>
        </w:rPr>
        <w:t>A thermal result needs a compatible thermal case model, linked laminate, transport properties, initial conditions and its embedded cycle where required by that model. Missing setup is not a zero-temperature result.</w:t>
      </w:r>
    </w:p>
    <w:p>
      <w:pPr>
        <w:pStyle w:val="ListBullet"/>
      </w:pPr>
      <w:r>
        <w:rPr>
          <w:b w:val="0"/>
          <w:i w:val="0"/>
        </w:rPr>
        <w:t>Follow the missing-setup message to the linked source record rather than interpreting an empty plot.</w:t>
      </w:r>
    </w:p>
    <w:p>
      <w:pPr>
        <w:pStyle w:val="ListBullet"/>
      </w:pPr>
      <w:r>
        <w:rPr>
          <w:b w:val="0"/>
          <w:i w:val="0"/>
        </w:rPr>
        <w:t>After upstream edits, rerun before using a saved temperature, cure or moisture history.</w:t>
      </w:r>
    </w:p>
    <w:p>
      <w:pPr>
        <w:pStyle w:val="ListBullet"/>
      </w:pPr>
      <w:r>
        <w:rPr>
          <w:b w:val="0"/>
          <w:i w:val="0"/>
        </w:rPr>
        <w:t>Refine through-thickness resolution and review temperature gradients and numerical diagnostics.</w:t>
      </w:r>
    </w:p>
    <w:p>
      <w:pPr>
        <w:pStyle w:val="ListBullet"/>
      </w:pPr>
      <w:r>
        <w:rPr>
          <w:b w:val="0"/>
          <w:i w:val="0"/>
        </w:rPr>
        <w:t>Output spacing controls saved samples; it is not the integration accuracy target. The transient solver checks full-step/two-half-step agreement.</w:t>
      </w:r>
    </w:p>
    <w:p>
      <w:pPr>
        <w:keepNext/>
      </w:pPr>
      <w:r>
        <w:t>Good practice</w:t>
      </w:r>
    </w:p>
    <w:p>
      <w:pPr/>
      <w:r>
        <w:rPr>
          <w:b w:val="0"/>
          <w:i w:val="0"/>
        </w:rPr>
        <w:t>A visually smooth temperature field is not evidence of convergence. An accuracy or integration failure must be resolved before relying on coupled results.</w:t>
      </w:r>
    </w:p>
    <w:p>
      <w:pPr>
        <w:pStyle w:val="Heading2"/>
      </w:pPr>
      <w:r>
        <w:t>Include cure exotherm and evolving modulus</w:t>
      </w:r>
    </w:p>
    <w:p>
      <w:pPr/>
      <w:r>
        <w:rPr>
          <w:b w:val="0"/>
          <w:i w:val="0"/>
        </w:rPr>
        <w:t>Transient thermal analysis can include the heat released by cure. The selected cure-dependent modulus model then changes the stiffness used to develop process stress as degree of cure evolves.</w:t>
      </w:r>
    </w:p>
    <w:p>
      <w:pPr>
        <w:pStyle w:val="ListBullet"/>
      </w:pPr>
      <w:r>
        <w:rPr>
          <w:b w:val="0"/>
          <w:i w:val="0"/>
        </w:rPr>
        <w:t>Assign a cure-kinetics model, total heat of reaction, density and heat capacity to the material or ply.</w:t>
      </w:r>
    </w:p>
    <w:p>
      <w:pPr>
        <w:pStyle w:val="ListBullet"/>
      </w:pPr>
      <w:r>
        <w:rPr>
          <w:b w:val="0"/>
          <w:i w:val="0"/>
        </w:rPr>
        <w:t>Enable cure exotherm when the thermal solution should include reaction heat; leave it off for externally imposed thermal histories that intentionally exclude self-heating.</w:t>
      </w:r>
      <w:r>
        <w:rPr>
          <w:b w:val="0"/>
          <w:i w:val="0"/>
        </w:rPr>
        <w:t xml:space="preserve"> </w:t>
      </w:r>
      <w:r>
        <w:rPr>
          <w:b w:val="0"/>
          <w:i w:val="0"/>
        </w:rPr>
        <w:t xml:space="preserve"> </w:t>
      </w:r>
      <w:hyperlink r:id="rId67">
        <w:r>
          <w:rPr>
            <w:color w:val="176EA4"/>
          </w:rPr>
          <w:t>See screenshot</w:t>
        </w:r>
      </w:hyperlink>
      <w:r>
        <w:t xml:space="preserve"> </w:t>
      </w:r>
    </w:p>
    <w:p>
      <w:pPr>
        <w:pStyle w:val="ListBullet"/>
      </w:pPr>
      <w:r>
        <w:rPr>
          <w:b w:val="0"/>
          <w:i w:val="0"/>
        </w:rPr>
        <w:t>Assign the cure-dependent modulus model and review its editable transition, rubbery/glassy modulus and shape parameters.</w:t>
      </w:r>
    </w:p>
    <w:p>
      <w:pPr>
        <w:pStyle w:val="ListBullet"/>
      </w:pPr>
      <w:r>
        <w:rPr>
          <w:b w:val="0"/>
          <w:i w:val="0"/>
        </w:rPr>
        <w:t>Rerun after changing kinetics, transport, cure heat, modulus evolution or shrinkage. These inputs affect later residual-stress and failure results.</w:t>
      </w:r>
    </w:p>
    <w:p>
      <w:pPr>
        <w:keepNext/>
        <w:jc w:val="center"/>
      </w:pPr>
      <w:r>
        <w:drawing>
          <wp:inline xmlns:a="http://schemas.openxmlformats.org/drawingml/2006/main" xmlns:pic="http://schemas.openxmlformats.org/drawingml/2006/picture">
            <wp:extent cx="6217920" cy="4897347"/>
            <wp:docPr id="49" name="Picture 49" descr="Include cure exotherm is an explicit option in Process optimization. It uses the linked resin; it does not supply missing kinetics or heat-of-reaction data."/>
            <wp:cNvGraphicFramePr>
              <a:graphicFrameLocks noChangeAspect="1"/>
            </wp:cNvGraphicFramePr>
            <a:graphic>
              <a:graphicData uri="http://schemas.openxmlformats.org/drawingml/2006/picture">
                <pic:pic>
                  <pic:nvPicPr>
                    <pic:cNvPr id="0" name="7f035c63de7baf9d7e1d0fa9879f7b13097a07f39d944e3a1500daa25c5fe02f.png"/>
                    <pic:cNvPicPr/>
                  </pic:nvPicPr>
                  <pic:blipFill>
                    <a:blip r:embed="rId68"/>
                    <a:stretch>
                      <a:fillRect/>
                    </a:stretch>
                  </pic:blipFill>
                  <pic:spPr>
                    <a:xfrm>
                      <a:off x="0" y="0"/>
                      <a:ext cx="6217920" cy="4897347"/>
                    </a:xfrm>
                    <a:prstGeom prst="rect"/>
                  </pic:spPr>
                </pic:pic>
              </a:graphicData>
            </a:graphic>
          </wp:inline>
        </w:drawing>
      </w:r>
    </w:p>
    <w:p>
      <w:pPr>
        <w:pStyle w:val="Caption"/>
      </w:pPr>
      <w:r>
        <w:rPr>
          <w:b/>
          <w:i w:val="0"/>
        </w:rPr>
        <w:t xml:space="preserve">Steps </w:t>
      </w:r>
      <w:r>
        <w:rPr>
          <w:b/>
          <w:i w:val="0"/>
        </w:rPr>
        <w:t xml:space="preserve"> </w:t>
      </w:r>
      <w:r>
        <w:rPr>
          <w:b/>
          <w:i w:val="0"/>
        </w:rPr>
        <w:t>2</w:t>
      </w:r>
      <w:r>
        <w:rPr>
          <w:b/>
          <w:i w:val="0"/>
        </w:rPr>
        <w:t xml:space="preserve"> </w:t>
      </w:r>
      <w:r>
        <w:rPr>
          <w:b/>
          <w:i w:val="0"/>
        </w:rPr>
        <w:t xml:space="preserve"> · </w:t>
      </w:r>
      <w:r>
        <w:rPr>
          <w:b w:val="0"/>
          <w:i w:val="0"/>
        </w:rPr>
        <w:t>Include cure exotherm is an explicit option in Process optimization. It uses the linked resin; it does not supply missing kinetics or heat-of-reaction data.</w:t>
      </w:r>
      <w:r>
        <w:rPr>
          <w:b w:val="0"/>
          <w:i w:val="0"/>
        </w:rPr>
        <w:t xml:space="preserve"> </w:t>
      </w:r>
      <w:r>
        <w:rPr>
          <w:b w:val="0"/>
          <w:i w:val="0"/>
        </w:rPr>
        <w:t xml:space="preserve"> </w:t>
      </w:r>
      <w:hyperlink r:id="rId69">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Steady-state conduction can solve a final temperature field, but cure evolution, exotherm and time-dependent stress development require a transient history.</w:t>
      </w:r>
    </w:p>
    <w:p>
      <w:pPr>
        <w:pStyle w:val="Heading2"/>
      </w:pPr>
      <w:r>
        <w:t>Optimize an oven or process cycle</w:t>
      </w:r>
    </w:p>
    <w:p>
      <w:pPr/>
      <w:r>
        <w:rPr>
          <w:b w:val="0"/>
          <w:i w:val="0"/>
        </w:rPr>
        <w:t>Process optimization varies selected surface-cycle controls to meet a target core temperature or cure state while reducing time, overshoot or other configured penalties.</w:t>
      </w:r>
    </w:p>
    <w:p>
      <w:pPr>
        <w:pStyle w:val="ListBullet"/>
      </w:pPr>
      <w:r>
        <w:rPr>
          <w:b w:val="0"/>
          <w:i w:val="0"/>
        </w:rPr>
        <w:t>Choose Process in Optimize Inputs and select the thermal case and its laminate. Review the cycle owned by that case.</w:t>
      </w:r>
      <w:r>
        <w:rPr>
          <w:b w:val="0"/>
          <w:i w:val="0"/>
        </w:rPr>
        <w:t xml:space="preserve"> </w:t>
      </w:r>
      <w:r>
        <w:rPr>
          <w:b w:val="0"/>
          <w:i w:val="0"/>
        </w:rPr>
        <w:t xml:space="preserve"> </w:t>
      </w:r>
      <w:hyperlink r:id="rId70">
        <w:r>
          <w:rPr>
            <w:color w:val="176EA4"/>
          </w:rPr>
          <w:t>See screenshot</w:t>
        </w:r>
      </w:hyperlink>
      <w:r>
        <w:t xml:space="preserve"> </w:t>
      </w:r>
    </w:p>
    <w:p>
      <w:pPr>
        <w:pStyle w:val="ListBullet"/>
      </w:pPr>
      <w:r>
        <w:rPr>
          <w:b w:val="0"/>
          <w:i w:val="0"/>
        </w:rPr>
        <w:t>Choose a target such as core temperature, degree of cure, maximum temperature difference, overshoot or total cycle time.</w:t>
      </w:r>
      <w:r>
        <w:rPr>
          <w:b w:val="0"/>
          <w:i w:val="0"/>
        </w:rPr>
        <w:t xml:space="preserve"> </w:t>
      </w:r>
      <w:r>
        <w:rPr>
          <w:b w:val="0"/>
          <w:i w:val="0"/>
        </w:rPr>
        <w:t xml:space="preserve"> </w:t>
      </w:r>
      <w:hyperlink r:id="rId70">
        <w:r>
          <w:rPr>
            <w:color w:val="176EA4"/>
          </w:rPr>
          <w:t>See screenshot</w:t>
        </w:r>
      </w:hyperlink>
      <w:r>
        <w:t xml:space="preserve"> </w:t>
      </w:r>
    </w:p>
    <w:p>
      <w:pPr>
        <w:pStyle w:val="ListBullet"/>
      </w:pPr>
      <w:r>
        <w:rPr>
          <w:b w:val="0"/>
          <w:i w:val="0"/>
        </w:rPr>
        <w:t>Select the editable boundary variables—surface temperatures, ramp rates, dwell temperatures or dwell durations—and define bounds and constraints.</w:t>
      </w:r>
      <w:r>
        <w:rPr>
          <w:b w:val="0"/>
          <w:i w:val="0"/>
        </w:rPr>
        <w:t xml:space="preserve"> </w:t>
      </w:r>
      <w:r>
        <w:rPr>
          <w:b w:val="0"/>
          <w:i w:val="0"/>
        </w:rPr>
        <w:t xml:space="preserve"> </w:t>
      </w:r>
      <w:hyperlink r:id="rId70">
        <w:r>
          <w:rPr>
            <w:color w:val="176EA4"/>
          </w:rPr>
          <w:t>See screenshot</w:t>
        </w:r>
      </w:hyperlink>
      <w:r>
        <w:t xml:space="preserve"> </w:t>
      </w:r>
    </w:p>
    <w:p>
      <w:pPr>
        <w:pStyle w:val="ListBullet"/>
      </w:pPr>
      <w:r>
        <w:rPr>
          <w:b w:val="0"/>
          <w:i w:val="0"/>
        </w:rPr>
        <w:t>Choose steady-state only for equilibrium targets. Use transient mode for ramps, dwells, core lag, cure exotherm, evolving modulus and stress development.</w:t>
      </w:r>
    </w:p>
    <w:p>
      <w:pPr>
        <w:pStyle w:val="ListBullet"/>
      </w:pPr>
      <w:r>
        <w:rPr>
          <w:b w:val="0"/>
          <w:i w:val="0"/>
        </w:rPr>
        <w:t>Run the bounded search, inspect feasibility and convergence, save a snapshot, then apply the candidate to the case-owned cycle and review the resulting case.</w:t>
      </w:r>
    </w:p>
    <w:p>
      <w:pPr>
        <w:pStyle w:val="ListBullet"/>
      </w:pPr>
      <w:r>
        <w:rPr>
          <w:b w:val="0"/>
          <w:i w:val="0"/>
        </w:rPr>
        <w:t>Rerun the full coupled simulation before accepting residual stress, distortion or failure results from the optimized cycle.</w:t>
      </w:r>
    </w:p>
    <w:p>
      <w:pPr>
        <w:keepNext/>
        <w:jc w:val="center"/>
      </w:pPr>
      <w:r>
        <w:drawing>
          <wp:inline xmlns:a="http://schemas.openxmlformats.org/drawingml/2006/main" xmlns:pic="http://schemas.openxmlformats.org/drawingml/2006/picture">
            <wp:extent cx="6217920" cy="4897347"/>
            <wp:docPr id="50" name="Picture 50" descr="Choose Process in Optimize, select the thermal case, then set the core target, hold time, temperature limits and bounded time/boundary multipliers. Review assumptions before running."/>
            <wp:cNvGraphicFramePr>
              <a:graphicFrameLocks noChangeAspect="1"/>
            </wp:cNvGraphicFramePr>
            <a:graphic>
              <a:graphicData uri="http://schemas.openxmlformats.org/drawingml/2006/picture">
                <pic:pic>
                  <pic:nvPicPr>
                    <pic:cNvPr id="0" name="7f035c63de7baf9d7e1d0fa9879f7b13097a07f39d944e3a1500daa25c5fe02f.png"/>
                    <pic:cNvPicPr/>
                  </pic:nvPicPr>
                  <pic:blipFill>
                    <a:blip r:embed="rId68"/>
                    <a:stretch>
                      <a:fillRect/>
                    </a:stretch>
                  </pic:blipFill>
                  <pic:spPr>
                    <a:xfrm>
                      <a:off x="0" y="0"/>
                      <a:ext cx="6217920" cy="4897347"/>
                    </a:xfrm>
                    <a:prstGeom prst="rect"/>
                  </pic:spPr>
                </pic:pic>
              </a:graphicData>
            </a:graphic>
          </wp:inline>
        </w:drawing>
      </w:r>
    </w:p>
    <w:p>
      <w:pPr>
        <w:pStyle w:val="Caption"/>
      </w:pPr>
      <w:r>
        <w:rPr>
          <w:b/>
          <w:i w:val="0"/>
        </w:rPr>
        <w:t xml:space="preserve">Steps </w:t>
      </w:r>
      <w:r>
        <w:rPr>
          <w:b/>
          <w:i w:val="0"/>
        </w:rPr>
        <w:t xml:space="preserve"> </w:t>
      </w:r>
      <w:r>
        <w:rPr>
          <w:b/>
          <w:i w:val="0"/>
        </w:rPr>
        <w:t>1, 2, 3</w:t>
      </w:r>
      <w:r>
        <w:rPr>
          <w:b/>
          <w:i w:val="0"/>
        </w:rPr>
        <w:t xml:space="preserve"> </w:t>
      </w:r>
      <w:r>
        <w:rPr>
          <w:b/>
          <w:i w:val="0"/>
        </w:rPr>
        <w:t xml:space="preserve"> · </w:t>
      </w:r>
      <w:r>
        <w:rPr>
          <w:b w:val="0"/>
          <w:i w:val="0"/>
        </w:rPr>
        <w:t>Choose Process in Optimize, select the thermal case, then set the core target, hold time, temperature limits and bounded time/boundary multipliers. Review assumptions before running.</w:t>
      </w:r>
      <w:r>
        <w:rPr>
          <w:b w:val="0"/>
          <w:i w:val="0"/>
        </w:rPr>
        <w:t xml:space="preserve"> </w:t>
      </w:r>
      <w:r>
        <w:rPr>
          <w:b w:val="0"/>
          <w:i w:val="0"/>
        </w:rPr>
        <w:t xml:space="preserve"> </w:t>
      </w:r>
      <w:hyperlink r:id="rId69">
        <w:r>
          <w:rPr>
            <w:color w:val="176EA4"/>
          </w:rPr>
          <w:t>Open full size </w:t>
        </w:r>
      </w:hyperlink>
      <w:r>
        <w:t xml:space="preserve"> </w:t>
      </w:r>
      <w:r>
        <w:rPr>
          <w:b w:val="0"/>
          <w:i w:val="0"/>
        </w:rPr>
        <w:t xml:space="preserve">GUI capture · </w:t>
      </w:r>
      <w:r>
        <w:rPr>
          <w:b w:val="0"/>
          <w:i w:val="0"/>
        </w:rPr>
        <w:t xml:space="preserve"> </w:t>
      </w:r>
      <w:r>
        <w:rPr>
          <w:b w:val="0"/>
          <w:i w:val="0"/>
        </w:rPr>
        <w:t>September 7, 2026</w:t>
      </w:r>
      <w:r>
        <w:rPr>
          <w:b w:val="0"/>
          <w:i w:val="0"/>
        </w:rPr>
        <w:t xml:space="preserve"> </w:t>
      </w:r>
      <w:r>
        <w:rPr>
          <w:b w:val="0"/>
          <w:i w:val="0"/>
        </w:rPr>
        <w:t>. Control locations may differ in later releases; not benchmark evidence.</w:t>
      </w:r>
      <w:r>
        <w:t xml:space="preserve"> </w:t>
      </w:r>
    </w:p>
    <w:p>
      <w:pPr>
        <w:keepNext/>
      </w:pPr>
      <w:r>
        <w:t>Good practice</w:t>
      </w:r>
    </w:p>
    <w:p>
      <w:pPr/>
      <w:r>
        <w:rPr>
          <w:b w:val="0"/>
          <w:i w:val="0"/>
        </w:rPr>
        <w:t>The optimizer is only as physical as the linked conductivity, density, heat capacity, convection, kinetics and cure-heat data. Missing transport data must be supplied or explicitly represented by visible editable fallback inputs.</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p>
      <w:bookmarkStart w:id="8" w:name="chapter_8"/>
      <w:pPr>
        <w:pStyle w:val="Heading1"/>
        <w:pageBreakBefore/>
      </w:pPr>
      <w:r>
        <w:t>8 Exercise validation study evidence not blanket passes</w:t>
      </w:r>
      <w:bookmarkEnd w:id="8"/>
    </w:p>
    <w:p>
      <w:pPr>
        <w:pStyle w:val="Caption"/>
      </w:pPr>
      <w:hyperlink r:id="rId71">
        <w:r>
          <w:rPr>
            <w:color w:val="176EA4"/>
          </w:rPr>
          <w:t>Online chapter</w:t>
        </w:r>
      </w:hyperlink>
      <w:r>
        <w:t xml:space="preserve"> </w:t>
      </w:r>
    </w:p>
    <w:p>
      <w:r>
        <w:t>Comparison values are rounded for readability. The linked validation evidence retains full-precision values, exact input records and reproducibility identifiers.</w:t>
      </w:r>
    </w:p>
    <w:p>
      <w:pPr/>
      <w:r>
        <w:rPr>
          <w:b w:val="0"/>
          <w:i w:val="0"/>
        </w:rPr>
        <w:t>Recorded production-solver comparisons against published equations and source-matched public calculations.</w:t>
      </w:r>
    </w:p>
    <w:p>
      <w:pPr>
        <w:keepNext/>
      </w:pPr>
      <w:r>
        <w:rPr>
          <w:b/>
          <w:i w:val="0"/>
        </w:rPr>
        <w:t>Current Workbench, reference editions and downloads</w:t>
      </w:r>
    </w:p>
    <w:p>
      <w:pPr/>
      <w:r>
        <w:rPr>
          <w:b w:val="0"/>
          <w:i w:val="0"/>
        </w:rPr>
        <w:t xml:space="preserve">Use the online User Guide for current controls, the </w:t>
      </w:r>
      <w:hyperlink r:id="rId11">
        <w:r>
          <w:rPr>
            <w:color w:val="176EA4"/>
          </w:rPr>
          <w:t>released model directory</w:t>
        </w:r>
      </w:hyperlink>
      <w:r>
        <w:t xml:space="preserve"> </w:t>
      </w:r>
      <w:r>
        <w:rPr>
          <w:b w:val="0"/>
          <w:i w:val="0"/>
        </w:rPr>
        <w:t xml:space="preserve"> for selectable models and compatibility, and the Training Manual for connected exercises. Wider theory references do not mean every formulation is enabled in Workbench.</w:t>
      </w:r>
    </w:p>
    <w:p>
      <w:pPr/>
      <w:r>
        <w:rPr>
          <w:b w:val="0"/>
          <w:i w:val="0"/>
        </w:rPr>
        <w:t xml:space="preserve">Dated GUI captures and compiled Web r18 PDF manuals retain their stated scope; they are not a substitute for current hosted Workbench instructions. Find the overview PDF, guides and exercise databases in </w:t>
      </w:r>
      <w:hyperlink r:id="rId12">
        <w:r>
          <w:rPr>
            <w:color w:val="176EA4"/>
          </w:rPr>
          <w:t>Your CDS library</w:t>
        </w:r>
      </w:hyperlink>
      <w:r>
        <w:t xml:space="preserve"> </w:t>
      </w:r>
      <w:r>
        <w:rPr>
          <w:b w:val="0"/>
          <w:i w:val="0"/>
        </w:rPr>
        <w:t>.</w:t>
      </w:r>
    </w:p>
    <w:p>
      <w:pPr>
        <w:pStyle w:val="Heading2"/>
      </w:pPr>
      <w:r>
        <w:t>Study 2026-09-18</w:t>
      </w:r>
    </w:p>
    <w:p>
      <w:pPr/>
      <w:r>
        <w:rPr>
          <w:b w:val="0"/>
          <w:i w:val="0"/>
        </w:rPr>
        <w:t>104</w:t>
      </w:r>
      <w:r>
        <w:rPr>
          <w:b w:val="0"/>
          <w:i w:val="0"/>
        </w:rPr>
        <w:t xml:space="preserve"> </w:t>
      </w:r>
      <w:r>
        <w:rPr>
          <w:b w:val="0"/>
          <w:i w:val="0"/>
        </w:rPr>
        <w:t xml:space="preserve"> of </w:t>
      </w:r>
      <w:r>
        <w:rPr>
          <w:b w:val="0"/>
          <w:i w:val="0"/>
        </w:rPr>
        <w:t xml:space="preserve"> </w:t>
      </w:r>
      <w:r>
        <w:rPr>
          <w:b w:val="0"/>
          <w:i w:val="0"/>
        </w:rPr>
        <w:t>104</w:t>
      </w:r>
      <w:r>
        <w:rPr>
          <w:b w:val="0"/>
          <w:i w:val="0"/>
        </w:rPr>
        <w:t xml:space="preserve"> </w:t>
      </w:r>
      <w:r>
        <w:rPr>
          <w:b w:val="0"/>
          <w:i w:val="0"/>
        </w:rPr>
        <w:t xml:space="preserve"> exercise baselines executed. </w:t>
      </w:r>
      <w:r>
        <w:rPr>
          <w:b w:val="0"/>
          <w:i w:val="0"/>
        </w:rPr>
        <w:t xml:space="preserve"> </w:t>
      </w:r>
      <w:r>
        <w:rPr>
          <w:b w:val="0"/>
          <w:i w:val="0"/>
        </w:rPr>
        <w:t>39</w:t>
      </w:r>
      <w:r>
        <w:rPr>
          <w:b w:val="0"/>
          <w:i w:val="0"/>
        </w:rPr>
        <w:t xml:space="preserve"> </w:t>
      </w:r>
      <w:r>
        <w:rPr>
          <w:b w:val="0"/>
          <w:i w:val="0"/>
        </w:rPr>
        <w:t xml:space="preserve"> passed scoped analytical comparisons; </w:t>
      </w:r>
      <w:r>
        <w:rPr>
          <w:b w:val="0"/>
          <w:i w:val="0"/>
        </w:rPr>
        <w:t xml:space="preserve"> </w:t>
      </w:r>
      <w:r>
        <w:rPr>
          <w:b w:val="0"/>
          <w:i w:val="0"/>
        </w:rPr>
        <w:t>0</w:t>
      </w:r>
      <w:r>
        <w:rPr>
          <w:b w:val="0"/>
          <w:i w:val="0"/>
        </w:rPr>
        <w:t xml:space="preserve"> </w:t>
      </w:r>
      <w:r>
        <w:rPr>
          <w:b w:val="0"/>
          <w:i w:val="0"/>
        </w:rPr>
        <w:t xml:space="preserve"> have benchmark discrepancies; </w:t>
      </w:r>
      <w:r>
        <w:rPr>
          <w:b w:val="0"/>
          <w:i w:val="0"/>
        </w:rPr>
        <w:t xml:space="preserve"> </w:t>
      </w:r>
      <w:r>
        <w:rPr>
          <w:b w:val="0"/>
          <w:i w:val="0"/>
        </w:rPr>
        <w:t>65</w:t>
      </w:r>
      <w:r>
        <w:rPr>
          <w:b w:val="0"/>
          <w:i w:val="0"/>
        </w:rPr>
        <w:t xml:space="preserve"> </w:t>
      </w:r>
      <w:r>
        <w:rPr>
          <w:b w:val="0"/>
          <w:i w:val="0"/>
        </w:rPr>
        <w:t xml:space="preserve"> have no completed quantitative benchmark; </w:t>
      </w:r>
      <w:r>
        <w:rPr>
          <w:b w:val="0"/>
          <w:i w:val="0"/>
        </w:rPr>
        <w:t xml:space="preserve"> </w:t>
      </w:r>
      <w:r>
        <w:rPr>
          <w:b w:val="0"/>
          <w:i w:val="0"/>
        </w:rPr>
        <w:t>0</w:t>
      </w:r>
      <w:r>
        <w:rPr>
          <w:b w:val="0"/>
          <w:i w:val="0"/>
        </w:rPr>
        <w:t xml:space="preserve"> </w:t>
      </w:r>
      <w:r>
        <w:rPr>
          <w:b w:val="0"/>
          <w:i w:val="0"/>
        </w:rPr>
        <w:t xml:space="preserve"> failed execution.</w:t>
      </w:r>
    </w:p>
    <w:p>
      <w:pPr/>
      <w:r>
        <w:rPr>
          <w:b w:val="0"/>
          <w:i w:val="0"/>
        </w:rPr>
        <w:t>No exercise has experimental validation from this study. A successful run, supplier property or similar-looking plot is not validation. Badges apply only to the listed outputs, recorded inputs and solver revision. Edited inputs and new solver revisions require revalidation.</w:t>
      </w:r>
    </w:p>
    <w:p>
      <w:pPr>
        <w:pStyle w:val="Heading3"/>
      </w:pPr>
      <w:r>
        <w:t>Case combination regression checks</w:t>
      </w:r>
    </w:p>
    <w:p>
      <w:pPr/>
      <w:r>
        <w:rPr>
          <w:b w:val="0"/>
          <w:i w:val="0"/>
        </w:rPr>
        <w:t>On 18 September 2026, 52,416 discrete catalog case-selector combinations, including None, were checked against selection compatibility rules: 406 were accepted and 52,010 rejected. These are selection checks, not numerical solutions of every combination. All seven nonempty thermal, moisture and mechanical subsets of the T700 starter executed successfully. Geometry dependency, model-pairing and stale-result checks also passed. This does not validate every material, geometry, load magnitude or coupled physical response.</w:t>
      </w:r>
    </w:p>
    <w:p>
      <w:pPr>
        <w:pStyle w:val="Heading3"/>
      </w:pPr>
      <w:r>
        <w:t>Method and acceptance</w:t>
      </w:r>
    </w:p>
    <w:p>
      <w:pPr/>
      <w:r>
        <w:rPr>
          <w:b w:val="0"/>
          <w:i w:val="0"/>
        </w:rPr>
        <w:t>Production solver executed on immutable copies of every exercise. Independent published-equation references use exact baseline inputs where eligible. Scoped analytical badges are not experimental validation, strength approval or validation of edited inputs. Full coupled studies remain unvalidated until matched external evidence and convergence studies exist. Tolerances were declared before numerical comparisons: analytical constants 0.01% + 0.00002 units; beam/strain 0.05% + absolute allowance; rounded NASA table values 1% + 0.00002.</w:t>
      </w:r>
    </w:p>
    <w:p>
      <w:pPr/>
      <w:r>
        <w:rPr>
          <w:b w:val="0"/>
          <w:i w:val="0"/>
        </w:rPr>
        <w:t>Each evidence panel states its quantities, predeclared tolerances and sources. Independent laminate references use strain/stress coordinate transformations and thickness integration, not production stiffness helpers. Separate NASA fixtures use the report's numerical inputs; they do not confer validation on the unmatched exercise starter.</w:t>
      </w:r>
    </w:p>
    <w:p>
      <w:pPr>
        <w:pStyle w:val="Heading3"/>
      </w:pPr>
      <w:r>
        <w:t>Findings and outstanding work</w:t>
      </w:r>
    </w:p>
    <w:p>
      <w:pPr>
        <w:pStyle w:val="ListBullet"/>
      </w:pPr>
      <w:r>
        <w:rPr>
          <w:b w:val="0"/>
          <w:i w:val="0"/>
        </w:rPr>
        <w:t>The recorded thin-wall pressure cases pass scoped equilibrium and orthotropic biaxial strain comparisons, including Poisson coupling. This is not a blanket validation of every pressure-vessel exercise or of unverified micromechanics inputs; use each evidence panel for its tested scope.</w:t>
      </w:r>
    </w:p>
    <w:p>
      <w:pPr>
        <w:pStyle w:val="ListBullet"/>
      </w:pPr>
      <w:r>
        <w:rPr>
          <w:b w:val="0"/>
          <w:i w:val="0"/>
        </w:rPr>
        <w:t>The NASA tube fixture matches three published calculated stiffness properties within 1%. This is not an experimental strength or failure validation.</w:t>
      </w:r>
    </w:p>
    <w:p>
      <w:pPr>
        <w:pStyle w:val="ListBullet"/>
      </w:pPr>
      <w:r>
        <w:rPr>
          <w:b w:val="0"/>
          <w:i w:val="0"/>
        </w:rPr>
        <w:t>NASA MAC/GMC micro-property comparisons do not all match the CDS ROM/Halpin–Tsai models. Different model formulations and their discrepancies are retained, not hidden.</w:t>
      </w:r>
    </w:p>
    <w:p>
      <w:pPr>
        <w:pStyle w:val="ListBullet"/>
      </w:pPr>
      <w:r>
        <w:rPr>
          <w:b w:val="0"/>
          <w:i w:val="0"/>
        </w:rPr>
        <w:t>Coupled cure, UV, pultrusion, moisture, sandwich/bonding and progressive delamination require matched constitutive data, boundary conditions, field measurements and convergence studies before a full coupled validation claim.</w:t>
      </w:r>
    </w:p>
    <w:p>
      <w:pPr/>
      <w:hyperlink r:id="rId72">
        <w:r>
          <w:rPr>
            <w:color w:val="176EA4"/>
          </w:rPr>
          <w:t>Download complete reproducible comparison evidence (JSON)</w:t>
        </w:r>
      </w:hyperlink>
      <w:r>
        <w:t xml:space="preserve"> </w:t>
      </w:r>
      <w:r>
        <w:rPr>
          <w:b w:val="0"/>
          <w:i w:val="0"/>
        </w:rPr>
        <w:t xml:space="preserve"> · </w:t>
      </w:r>
      <w:hyperlink r:id="rId14">
        <w:r>
          <w:rPr>
            <w:color w:val="176EA4"/>
          </w:rPr>
          <w:t>Search exercise tree</w:t>
        </w:r>
      </w:hyperlink>
      <w:r>
        <w:t xml:space="preserve"> </w:t>
      </w:r>
    </w:p>
    <w:p>
      <w:pPr>
        <w:keepNext/>
      </w:pPr>
      <w:r>
        <w:rPr>
          <w:b/>
          <w:i w:val="0"/>
        </w:rPr>
        <w:t>Hybrid short fibers: orientation and volume balance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Architecture needs a separate benchmark</w:t>
      </w:r>
    </w:p>
    <w:p>
      <w:pPr>
        <w:pStyle w:val="Heading3"/>
      </w:pPr>
      <w:r>
        <w:t>Tested inputs</w:t>
      </w:r>
    </w:p>
    <w:p>
      <w:pPr>
        <w:pStyle w:val="ListBullet"/>
      </w:pPr>
      <w:r>
        <w:rPr>
          <w:b w:val="0"/>
          <w:i w:val="0"/>
        </w:rPr>
        <w:t>Prescribed orientation, common filament dimensions and resin. Voigt stiffness averaging; not a manufacturing orientation prediction or progressive failure model. Thermal transport retains aligned closure assumptions.</w:t>
      </w:r>
    </w:p>
    <w:p>
      <w:pPr/>
      <w:hyperlink r:id="rId73">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Short fibers: aspect ratio and shear-lag transfer</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Architecture needs a separate benchmark</w:t>
      </w:r>
    </w:p>
    <w:p>
      <w:pPr>
        <w:pStyle w:val="Heading3"/>
      </w:pPr>
      <w:r>
        <w:t>Tested inputs</w:t>
      </w:r>
    </w:p>
    <w:p>
      <w:pPr>
        <w:pStyle w:val="ListBullet"/>
      </w:pPr>
      <w:r>
        <w:rPr>
          <w:b w:val="0"/>
          <w:i w:val="0"/>
        </w:rPr>
        <w:t>Aligned monodisperse elastic fibers, perfect interface and concentric-cell shear lag. Halpin–Tsai transverse/shear screening closure. Existing constituent data are reused; the short-fiber composite and its strength allowables are a hypothetical teaching system.</w:t>
      </w:r>
    </w:p>
    <w:p>
      <w:pPr/>
      <w:hyperlink r:id="rId74">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Rule of mixtures: fibre volume fraction</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1.71373e-06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1.71373e-06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19.35659</w:t>
            </w:r>
          </w:p>
        </w:tc>
        <w:tc>
          <w:tcPr>
            <w:tcW w:type="dxa" w:w="1632"/>
            <w:vAlign w:val="center"/>
            <w:shd w:fill="FFFFFF"/>
          </w:tcPr>
          <w:p>
            <w:pPr>
              <w:spacing w:after="100" w:before="100"/>
            </w:pPr>
            <w:r>
              <w:rPr>
                <w:b w:val="0"/>
                <w:i w:val="0"/>
                <w:sz w:val="18"/>
              </w:rPr>
              <w:t>19.35659</w:t>
            </w:r>
          </w:p>
        </w:tc>
        <w:tc>
          <w:tcPr>
            <w:tcW w:type="dxa" w:w="1632"/>
            <w:vAlign w:val="center"/>
            <w:shd w:fill="FFFFFF"/>
          </w:tcPr>
          <w:p>
            <w:pPr>
              <w:spacing w:after="100" w:before="100"/>
            </w:pPr>
            <w:r>
              <w:rPr>
                <w:b w:val="0"/>
                <w:i w:val="0"/>
                <w:sz w:val="18"/>
              </w:rPr>
              <w:t>-2.84568e-06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0.31789</w:t>
            </w:r>
          </w:p>
        </w:tc>
        <w:tc>
          <w:tcPr>
            <w:tcW w:type="dxa" w:w="1632"/>
            <w:vAlign w:val="center"/>
            <w:shd w:fill="FFFFFF"/>
          </w:tcPr>
          <w:p>
            <w:pPr>
              <w:spacing w:after="100" w:before="100"/>
            </w:pPr>
            <w:r>
              <w:rPr>
                <w:b w:val="0"/>
                <w:i w:val="0"/>
                <w:sz w:val="18"/>
              </w:rPr>
              <w:t>0.317886</w:t>
            </w:r>
          </w:p>
        </w:tc>
        <w:tc>
          <w:tcPr>
            <w:tcW w:type="dxa" w:w="1632"/>
            <w:vAlign w:val="center"/>
            <w:shd w:fill="FFFFFF"/>
          </w:tcPr>
          <w:p>
            <w:pPr>
              <w:spacing w:after="100" w:before="100"/>
            </w:pPr>
            <w:r>
              <w:rPr>
                <w:b w:val="0"/>
                <w:i w:val="0"/>
                <w:sz w:val="18"/>
              </w:rPr>
              <w:t>0.00126045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E1</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139.38</w:t>
            </w:r>
          </w:p>
        </w:tc>
        <w:tc>
          <w:tcPr>
            <w:tcW w:type="dxa" w:w="1632"/>
            <w:vAlign w:val="center"/>
            <w:shd w:fill="FFFFFF"/>
          </w:tcPr>
          <w:p>
            <w:pPr>
              <w:spacing w:after="100" w:before="100"/>
            </w:pPr>
            <w:r>
              <w:rPr>
                <w:b w:val="0"/>
                <w:i w:val="0"/>
                <w:sz w:val="18"/>
              </w:rPr>
              <w:t>139.38</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E2</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6.41264</w:t>
            </w:r>
          </w:p>
        </w:tc>
        <w:tc>
          <w:tcPr>
            <w:tcW w:type="dxa" w:w="1632"/>
            <w:vAlign w:val="center"/>
            <w:shd w:fill="FFFFFF"/>
          </w:tcPr>
          <w:p>
            <w:pPr>
              <w:spacing w:after="100" w:before="100"/>
            </w:pPr>
            <w:r>
              <w:rPr>
                <w:b w:val="0"/>
                <w:i w:val="0"/>
                <w:sz w:val="18"/>
              </w:rPr>
              <w:t>6.412639</w:t>
            </w:r>
          </w:p>
        </w:tc>
        <w:tc>
          <w:tcPr>
            <w:tcW w:type="dxa" w:w="1632"/>
            <w:vAlign w:val="center"/>
            <w:shd w:fill="FFFFFF"/>
          </w:tcPr>
          <w:p>
            <w:pPr>
              <w:spacing w:after="100" w:before="100"/>
            </w:pPr>
            <w:r>
              <w:rPr>
                <w:b w:val="0"/>
                <w:i w:val="0"/>
                <w:sz w:val="18"/>
              </w:rPr>
              <w:t>9.27536e-06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G12</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2.98755</w:t>
            </w:r>
          </w:p>
        </w:tc>
        <w:tc>
          <w:tcPr>
            <w:tcW w:type="dxa" w:w="1632"/>
            <w:vAlign w:val="center"/>
            <w:shd w:fill="FFFFFF"/>
          </w:tcPr>
          <w:p>
            <w:pPr>
              <w:spacing w:after="100" w:before="100"/>
            </w:pPr>
            <w:r>
              <w:rPr>
                <w:b w:val="0"/>
                <w:i w:val="0"/>
                <w:sz w:val="18"/>
              </w:rPr>
              <w:t>2.987552</w:t>
            </w:r>
          </w:p>
        </w:tc>
        <w:tc>
          <w:tcPr>
            <w:tcW w:type="dxa" w:w="1632"/>
            <w:vAlign w:val="center"/>
            <w:shd w:fill="FFFFFF"/>
          </w:tcPr>
          <w:p>
            <w:pPr>
              <w:spacing w:after="100" w:before="100"/>
            </w:pPr>
            <w:r>
              <w:rPr>
                <w:b w:val="0"/>
                <w:i w:val="0"/>
                <w:sz w:val="18"/>
              </w:rPr>
              <w:t>-0.0000625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ν12</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0.26</w:t>
            </w:r>
          </w:p>
        </w:tc>
        <w:tc>
          <w:tcPr>
            <w:tcW w:type="dxa" w:w="1632"/>
            <w:vAlign w:val="center"/>
            <w:shd w:fill="FFFFFF"/>
          </w:tcPr>
          <w:p>
            <w:pPr>
              <w:spacing w:after="100" w:before="100"/>
            </w:pPr>
            <w:r>
              <w:rPr>
                <w:b w:val="0"/>
                <w:i w:val="0"/>
                <w:sz w:val="18"/>
              </w:rPr>
              <w:t>0.26</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ListBullet"/>
      </w:pPr>
      <w:hyperlink r:id="rId76">
        <w:r>
          <w:rPr>
            <w:color w:val="176EA4"/>
          </w:rPr>
          <w:t>MIT / David Roylance — Introduction to Composites </w:t>
        </w:r>
      </w:hyperlink>
      <w:r>
        <w:t xml:space="preserve"> </w:t>
      </w:r>
      <w:r>
        <w:rPr>
          <w:b w:val="0"/>
          <w:i w:val="0"/>
        </w:rPr>
        <w:t>Equations 1–3, printed pages 3–4</w:t>
      </w:r>
      <w:r>
        <w:rPr>
          <w:b w:val="0"/>
          <w:i w:val="0"/>
        </w:rPr>
        <w:t xml:space="preserve"> </w:t>
      </w:r>
      <w:r>
        <w:rPr>
          <w:b w:val="0"/>
          <w:i w:val="0"/>
        </w:rPr>
        <w:t xml:space="preserve">. </w:t>
      </w:r>
      <w:r>
        <w:rPr>
          <w:b w:val="0"/>
          <w:i w:val="0"/>
        </w:rPr>
        <w:t xml:space="preserve"> </w:t>
      </w:r>
      <w:r>
        <w:rPr>
          <w:b w:val="0"/>
          <w:i w:val="0"/>
        </w:rPr>
        <w:t>Published analytical equations; not experimental material validation.</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Ideal continuous, aligned reinforcement with zero voids. This is a teaching comparison, not a measured material allowable.</w:t>
      </w:r>
    </w:p>
    <w:p>
      <w:pPr/>
      <w:hyperlink r:id="rId77">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Compare transverse micromechanics models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Nonzero-void closure has no matched published calibration in this study</w:t>
      </w:r>
    </w:p>
    <w:p>
      <w:pPr>
        <w:pStyle w:val="Heading3"/>
      </w:pPr>
      <w:r>
        <w:t>Tested inputs</w:t>
      </w:r>
    </w:p>
    <w:p>
      <w:pPr>
        <w:pStyle w:val="ListBullet"/>
      </w:pPr>
      <w:r>
        <w:rPr>
          <w:b w:val="0"/>
          <w:i w:val="0"/>
        </w:rPr>
        <w:t>Use the editable model inputs and their documented assumptions; matching a trend does not validate a strength prediction.</w:t>
      </w:r>
    </w:p>
    <w:p>
      <w:pPr/>
      <w:hyperlink r:id="rId78">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Laminate orientation and tensile response</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1.95976e-05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0.31022</w:t>
            </w:r>
          </w:p>
        </w:tc>
        <w:tc>
          <w:tcPr>
            <w:tcW w:type="dxa" w:w="1632"/>
            <w:vAlign w:val="center"/>
            <w:shd w:fill="FFFFFF"/>
          </w:tcPr>
          <w:p>
            <w:pPr>
              <w:spacing w:after="100" w:before="100"/>
            </w:pPr>
            <w:r>
              <w:rPr>
                <w:b w:val="0"/>
                <w:i w:val="0"/>
                <w:sz w:val="18"/>
              </w:rPr>
              <w:t>0.3102175</w:t>
            </w:r>
          </w:p>
        </w:tc>
        <w:tc>
          <w:tcPr>
            <w:tcW w:type="dxa" w:w="1632"/>
            <w:vAlign w:val="center"/>
            <w:shd w:fill="FFFFFF"/>
          </w:tcPr>
          <w:p>
            <w:pPr>
              <w:spacing w:after="100" w:before="100"/>
            </w:pPr>
            <w:r>
              <w:rPr>
                <w:b w:val="0"/>
                <w:i w:val="0"/>
                <w:sz w:val="18"/>
              </w:rPr>
              <w:t>0.000793473</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ASTM-based teaching geometry, not certification. Grips, tabs, alignment and physical test validity are not simulated.</w:t>
      </w:r>
    </w:p>
    <w:p>
      <w:pPr/>
      <w:hyperlink r:id="rId79">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±45° coupon: in-plane shear</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17.02827</w:t>
            </w:r>
          </w:p>
        </w:tc>
        <w:tc>
          <w:tcPr>
            <w:tcW w:type="dxa" w:w="1632"/>
            <w:vAlign w:val="center"/>
            <w:shd w:fill="FFFFFF"/>
          </w:tcPr>
          <w:p>
            <w:pPr>
              <w:spacing w:after="100" w:before="100"/>
            </w:pPr>
            <w:r>
              <w:rPr>
                <w:b w:val="0"/>
                <w:i w:val="0"/>
                <w:sz w:val="18"/>
              </w:rPr>
              <w:t>17.02827</w:t>
            </w:r>
          </w:p>
        </w:tc>
        <w:tc>
          <w:tcPr>
            <w:tcW w:type="dxa" w:w="1632"/>
            <w:vAlign w:val="center"/>
            <w:shd w:fill="FFFFFF"/>
          </w:tcPr>
          <w:p>
            <w:pPr>
              <w:spacing w:after="100" w:before="100"/>
            </w:pPr>
            <w:r>
              <w:rPr>
                <w:b w:val="0"/>
                <w:i w:val="0"/>
                <w:sz w:val="18"/>
              </w:rPr>
              <w:t>2.7757e-05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17.02827</w:t>
            </w:r>
          </w:p>
        </w:tc>
        <w:tc>
          <w:tcPr>
            <w:tcW w:type="dxa" w:w="1632"/>
            <w:vAlign w:val="center"/>
            <w:shd w:fill="FFFFFF"/>
          </w:tcPr>
          <w:p>
            <w:pPr>
              <w:spacing w:after="100" w:before="100"/>
            </w:pPr>
            <w:r>
              <w:rPr>
                <w:b w:val="0"/>
                <w:i w:val="0"/>
                <w:sz w:val="18"/>
              </w:rPr>
              <w:t>17.02827</w:t>
            </w:r>
          </w:p>
        </w:tc>
        <w:tc>
          <w:tcPr>
            <w:tcW w:type="dxa" w:w="1632"/>
            <w:vAlign w:val="center"/>
            <w:shd w:fill="FFFFFF"/>
          </w:tcPr>
          <w:p>
            <w:pPr>
              <w:spacing w:after="100" w:before="100"/>
            </w:pPr>
            <w:r>
              <w:rPr>
                <w:b w:val="0"/>
                <w:i w:val="0"/>
                <w:sz w:val="18"/>
              </w:rPr>
              <w:t>2.7757e-05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34.82813</w:t>
            </w:r>
          </w:p>
        </w:tc>
        <w:tc>
          <w:tcPr>
            <w:tcW w:type="dxa" w:w="1632"/>
            <w:vAlign w:val="center"/>
            <w:shd w:fill="FFFFFF"/>
          </w:tcPr>
          <w:p>
            <w:pPr>
              <w:spacing w:after="100" w:before="100"/>
            </w:pPr>
            <w:r>
              <w:rPr>
                <w:b w:val="0"/>
                <w:i w:val="0"/>
                <w:sz w:val="18"/>
              </w:rPr>
              <w:t>34.82813</w:t>
            </w:r>
          </w:p>
        </w:tc>
        <w:tc>
          <w:tcPr>
            <w:tcW w:type="dxa" w:w="1632"/>
            <w:vAlign w:val="center"/>
            <w:shd w:fill="FFFFFF"/>
          </w:tcPr>
          <w:p>
            <w:pPr>
              <w:spacing w:after="100" w:before="100"/>
            </w:pPr>
            <w:r>
              <w:rPr>
                <w:b w:val="0"/>
                <w:i w:val="0"/>
                <w:sz w:val="18"/>
              </w:rPr>
              <w:t>-6.41391e-06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0.77378</w:t>
            </w:r>
          </w:p>
        </w:tc>
        <w:tc>
          <w:tcPr>
            <w:tcW w:type="dxa" w:w="1632"/>
            <w:vAlign w:val="center"/>
            <w:shd w:fill="FFFFFF"/>
          </w:tcPr>
          <w:p>
            <w:pPr>
              <w:spacing w:after="100" w:before="100"/>
            </w:pPr>
            <w:r>
              <w:rPr>
                <w:b w:val="0"/>
                <w:i w:val="0"/>
                <w:sz w:val="18"/>
              </w:rPr>
              <w:t>0.7737776</w:t>
            </w:r>
          </w:p>
        </w:tc>
        <w:tc>
          <w:tcPr>
            <w:tcW w:type="dxa" w:w="1632"/>
            <w:vAlign w:val="center"/>
            <w:shd w:fill="FFFFFF"/>
          </w:tcPr>
          <w:p>
            <w:pPr>
              <w:spacing w:after="100" w:before="100"/>
            </w:pPr>
            <w:r>
              <w:rPr>
                <w:b w:val="0"/>
                <w:i w:val="0"/>
                <w:sz w:val="18"/>
              </w:rPr>
              <w:t>0.000305947</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Small-strain elastic teaching model; fibre rotation and nonlinear termination rules are not represented.</w:t>
      </w:r>
    </w:p>
    <w:p>
      <w:pPr/>
      <w:hyperlink r:id="rId80">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Three-point bending: span and stiffness</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Central-load beam deflection and shear, conditional on the reported effective Ex. Material elasticity, ply stress and failure not validated.</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1.95976e-05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0.31022</w:t>
            </w:r>
          </w:p>
        </w:tc>
        <w:tc>
          <w:tcPr>
            <w:tcW w:type="dxa" w:w="1632"/>
            <w:vAlign w:val="center"/>
            <w:shd w:fill="FFFFFF"/>
          </w:tcPr>
          <w:p>
            <w:pPr>
              <w:spacing w:after="100" w:before="100"/>
            </w:pPr>
            <w:r>
              <w:rPr>
                <w:b w:val="0"/>
                <w:i w:val="0"/>
                <w:sz w:val="18"/>
              </w:rPr>
              <w:t>0.3102175</w:t>
            </w:r>
          </w:p>
        </w:tc>
        <w:tc>
          <w:tcPr>
            <w:tcW w:type="dxa" w:w="1632"/>
            <w:vAlign w:val="center"/>
            <w:shd w:fill="FFFFFF"/>
          </w:tcPr>
          <w:p>
            <w:pPr>
              <w:spacing w:after="100" w:before="100"/>
            </w:pPr>
            <w:r>
              <w:rPr>
                <w:b w:val="0"/>
                <w:i w:val="0"/>
                <w:sz w:val="18"/>
              </w:rPr>
              <w:t>0.000793473</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Maximum deflection</w:t>
            </w:r>
            <w:r>
              <w:rPr>
                <w:b w:val="0"/>
                <w:i w:val="0"/>
                <w:sz w:val="18"/>
              </w:rPr>
              <w:t xml:space="preserve"> </w:t>
            </w:r>
            <w:r>
              <w:rPr>
                <w:b w:val="0"/>
                <w:i w:val="0"/>
                <w:sz w:val="18"/>
              </w:rPr>
              <w:t xml:space="preserve"> (</w:t>
            </w:r>
            <w:r>
              <w:rPr>
                <w:b w:val="0"/>
                <w:i w:val="0"/>
                <w:sz w:val="18"/>
              </w:rPr>
              <w:t xml:space="preserve"> </w:t>
            </w:r>
            <w:r>
              <w:rPr>
                <w:b w:val="0"/>
                <w:i w:val="0"/>
                <w:sz w:val="18"/>
              </w:rPr>
              <w:t>mm</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1.213667</w:t>
            </w:r>
          </w:p>
        </w:tc>
        <w:tc>
          <w:tcPr>
            <w:tcW w:type="dxa" w:w="1632"/>
            <w:vAlign w:val="center"/>
            <w:shd w:fill="FFFFFF"/>
          </w:tcPr>
          <w:p>
            <w:pPr>
              <w:spacing w:after="100" w:before="100"/>
            </w:pPr>
            <w:r>
              <w:rPr>
                <w:b w:val="0"/>
                <w:i w:val="0"/>
                <w:sz w:val="18"/>
              </w:rPr>
              <w:t>1.213667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0.05</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mm</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Maximum shear</w:t>
            </w:r>
            <w:r>
              <w:rPr>
                <w:b w:val="0"/>
                <w:i w:val="0"/>
                <w:sz w:val="18"/>
              </w:rPr>
              <w:t xml:space="preserve"> </w:t>
            </w:r>
            <w:r>
              <w:rPr>
                <w:b w:val="0"/>
                <w:i w:val="0"/>
                <w:sz w:val="18"/>
              </w:rPr>
              <w:t xml:space="preserve"> (</w:t>
            </w:r>
            <w:r>
              <w:rPr>
                <w:b w:val="0"/>
                <w:i w:val="0"/>
                <w:sz w:val="18"/>
              </w:rPr>
              <w:t xml:space="preserve"> </w:t>
            </w:r>
            <w:r>
              <w:rPr>
                <w:b w:val="0"/>
                <w:i w:val="0"/>
                <w:sz w:val="18"/>
              </w:rPr>
              <w:t>N</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50</w:t>
            </w:r>
          </w:p>
        </w:tc>
        <w:tc>
          <w:tcPr>
            <w:tcW w:type="dxa" w:w="1632"/>
            <w:vAlign w:val="center"/>
            <w:shd w:fill="FFFFFF"/>
          </w:tcPr>
          <w:p>
            <w:pPr>
              <w:spacing w:after="100" w:before="100"/>
            </w:pPr>
            <w:r>
              <w:rPr>
                <w:b w:val="0"/>
                <w:i w:val="0"/>
                <w:sz w:val="18"/>
              </w:rPr>
              <w:t>50</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N</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ListBullet"/>
      </w:pPr>
      <w:hyperlink r:id="rId81">
        <w:r>
          <w:rPr>
            <w:color w:val="176EA4"/>
          </w:rPr>
          <w:t>MIT / David Roylance — Beam Displacements </w:t>
        </w:r>
      </w:hyperlink>
      <w:r>
        <w:t xml:space="preserve"> </w:t>
      </w:r>
      <w:r>
        <w:rPr>
          <w:b w:val="0"/>
          <w:i w:val="0"/>
        </w:rPr>
        <w:t>Equation 7, printed page 3: central-load simply supported beam</w:t>
      </w:r>
      <w:r>
        <w:rPr>
          <w:b w:val="0"/>
          <w:i w:val="0"/>
        </w:rPr>
        <w:t xml:space="preserve"> </w:t>
      </w:r>
      <w:r>
        <w:rPr>
          <w:b w:val="0"/>
          <w:i w:val="0"/>
        </w:rPr>
        <w:t xml:space="preserve">. </w:t>
      </w:r>
      <w:r>
        <w:rPr>
          <w:b w:val="0"/>
          <w:i w:val="0"/>
        </w:rPr>
        <w:t xml:space="preserve"> </w:t>
      </w:r>
      <w:r>
        <w:rPr>
          <w:b w:val="0"/>
          <w:i w:val="0"/>
        </w:rPr>
        <w:t>Euler–Bernoulli analytical check; excludes shear, contact, damage and empirical stiffness validation.</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keepNext/>
      </w:pPr>
      <w:r>
        <w:rPr>
          <w:b/>
          <w:i w:val="0"/>
        </w:rPr>
        <w:t>Beam benchmark inputs</w:t>
      </w:r>
    </w:p>
    <w:p>
      <w:r>
        <w:t>Exact numerical inputs are retained in the linked validation evidence.</w:t>
      </w:r>
    </w:p>
    <w:p>
      <w:pPr>
        <w:pStyle w:val="ListBullet"/>
      </w:pPr>
      <w:r>
        <w:rPr>
          <w:b w:val="0"/>
          <w:i w:val="0"/>
        </w:rPr>
        <w:t>Procedure A teaching setup. Transverse shear deformation, roller contact and indentation are excluded.</w:t>
      </w:r>
    </w:p>
    <w:p>
      <w:pPr/>
      <w:hyperlink r:id="rId82">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Thin-wall pressure vessel</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Thin-wall pressure equilibrium and orthotropic biaxial strain comparison; stiffness inputs are conditional where Micro closure has not been verified.</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Nonzero-void closure has no matched published calibration in this study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Hoop stress</w:t>
            </w:r>
            <w:r>
              <w:rPr>
                <w:b w:val="0"/>
                <w:i w:val="0"/>
                <w:sz w:val="18"/>
              </w:rPr>
              <w:t xml:space="preserve"> </w:t>
            </w:r>
            <w:r>
              <w:rPr>
                <w:b w:val="0"/>
                <w:i w:val="0"/>
                <w:sz w:val="18"/>
              </w:rPr>
              <w:t xml:space="preserve"> (</w:t>
            </w:r>
            <w:r>
              <w:rPr>
                <w:b w:val="0"/>
                <w:i w:val="0"/>
                <w:sz w:val="18"/>
              </w:rPr>
              <w:t xml:space="preserve"> </w:t>
            </w:r>
            <w:r>
              <w:rPr>
                <w:b w:val="0"/>
                <w:i w:val="0"/>
                <w:sz w:val="18"/>
              </w:rPr>
              <w:t>MPa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56.4</w:t>
            </w:r>
          </w:p>
        </w:tc>
        <w:tc>
          <w:tcPr>
            <w:tcW w:type="dxa" w:w="1632"/>
            <w:vAlign w:val="center"/>
            <w:shd w:fill="FFFFFF"/>
          </w:tcPr>
          <w:p>
            <w:pPr>
              <w:spacing w:after="100" w:before="100"/>
            </w:pPr>
            <w:r>
              <w:rPr>
                <w:b w:val="0"/>
                <w:i w:val="0"/>
                <w:sz w:val="18"/>
              </w:rPr>
              <w:t>56.4</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MPa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Axial stress</w:t>
            </w:r>
            <w:r>
              <w:rPr>
                <w:b w:val="0"/>
                <w:i w:val="0"/>
                <w:sz w:val="18"/>
              </w:rPr>
              <w:t xml:space="preserve"> </w:t>
            </w:r>
            <w:r>
              <w:rPr>
                <w:b w:val="0"/>
                <w:i w:val="0"/>
                <w:sz w:val="18"/>
              </w:rPr>
              <w:t xml:space="preserve"> (</w:t>
            </w:r>
            <w:r>
              <w:rPr>
                <w:b w:val="0"/>
                <w:i w:val="0"/>
                <w:sz w:val="18"/>
              </w:rPr>
              <w:t xml:space="preserve"> </w:t>
            </w:r>
            <w:r>
              <w:rPr>
                <w:b w:val="0"/>
                <w:i w:val="0"/>
                <w:sz w:val="18"/>
              </w:rPr>
              <w:t>MPa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28.2</w:t>
            </w:r>
          </w:p>
        </w:tc>
        <w:tc>
          <w:tcPr>
            <w:tcW w:type="dxa" w:w="1632"/>
            <w:vAlign w:val="center"/>
            <w:shd w:fill="FFFFFF"/>
          </w:tcPr>
          <w:p>
            <w:pPr>
              <w:spacing w:after="100" w:before="100"/>
            </w:pPr>
            <w:r>
              <w:rPr>
                <w:b w:val="0"/>
                <w:i w:val="0"/>
                <w:sz w:val="18"/>
              </w:rPr>
              <w:t>28.2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MPa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Hoop strain including Poisson coupling</w:t>
            </w:r>
            <w:r>
              <w:rPr>
                <w:b w:val="0"/>
                <w:i w:val="0"/>
                <w:sz w:val="18"/>
              </w:rPr>
              <w:t xml:space="preserve"> </w:t>
            </w:r>
            <w:r>
              <w:rPr>
                <w:b w:val="0"/>
                <w:i w:val="0"/>
                <w:sz w:val="18"/>
              </w:rPr>
              <w:t xml:space="preserve"> (</w:t>
            </w:r>
            <w:r>
              <w:rPr>
                <w:b w:val="0"/>
                <w:i w:val="0"/>
                <w:sz w:val="18"/>
              </w:rPr>
              <w:t xml:space="preserve"> </w:t>
            </w:r>
            <w:r>
              <w:rPr>
                <w:b w:val="0"/>
                <w:i w:val="0"/>
                <w:sz w:val="18"/>
              </w:rPr>
              <w:t>µε</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755.3712</w:t>
            </w:r>
          </w:p>
        </w:tc>
        <w:tc>
          <w:tcPr>
            <w:tcW w:type="dxa" w:w="1632"/>
            <w:vAlign w:val="center"/>
            <w:shd w:fill="FFFFFF"/>
          </w:tcPr>
          <w:p>
            <w:pPr>
              <w:spacing w:after="100" w:before="100"/>
            </w:pPr>
            <w:r>
              <w:rPr>
                <w:b w:val="0"/>
                <w:i w:val="0"/>
                <w:sz w:val="18"/>
              </w:rPr>
              <w:t>755.3698</w:t>
            </w:r>
          </w:p>
        </w:tc>
        <w:tc>
          <w:tcPr>
            <w:tcW w:type="dxa" w:w="1632"/>
            <w:vAlign w:val="center"/>
            <w:shd w:fill="FFFFFF"/>
          </w:tcPr>
          <w:p>
            <w:pPr>
              <w:spacing w:after="100" w:before="100"/>
            </w:pPr>
            <w:r>
              <w:rPr>
                <w:b w:val="0"/>
                <w:i w:val="0"/>
                <w:sz w:val="18"/>
              </w:rPr>
              <w:t>0.000182403</w:t>
            </w:r>
          </w:p>
        </w:tc>
        <w:tc>
          <w:tcPr>
            <w:tcW w:type="dxa" w:w="1632"/>
            <w:vAlign w:val="center"/>
            <w:shd w:fill="FFFFFF"/>
          </w:tcPr>
          <w:p>
            <w:pPr>
              <w:spacing w:after="100" w:before="100"/>
            </w:pPr>
            <w:r>
              <w:rPr>
                <w:b w:val="0"/>
                <w:i w:val="0"/>
                <w:sz w:val="18"/>
              </w:rPr>
              <w:t>0.05</w:t>
            </w:r>
            <w:r>
              <w:rPr>
                <w:b w:val="0"/>
                <w:i w:val="0"/>
                <w:sz w:val="18"/>
              </w:rPr>
              <w:t xml:space="preserve"> </w:t>
            </w:r>
            <w:r>
              <w:rPr>
                <w:b w:val="0"/>
                <w:i w:val="0"/>
                <w:sz w:val="18"/>
              </w:rPr>
              <w:t xml:space="preserve">% + </w:t>
            </w:r>
            <w:r>
              <w:rPr>
                <w:b w:val="0"/>
                <w:i w:val="0"/>
                <w:sz w:val="18"/>
              </w:rPr>
              <w:t xml:space="preserve"> </w:t>
            </w:r>
            <w:r>
              <w:rPr>
                <w:b w:val="0"/>
                <w:i w:val="0"/>
                <w:sz w:val="18"/>
              </w:rPr>
              <w:t>0.01</w:t>
            </w:r>
            <w:r>
              <w:rPr>
                <w:b w:val="0"/>
                <w:i w:val="0"/>
                <w:sz w:val="18"/>
              </w:rPr>
              <w:t xml:space="preserve"> </w:t>
            </w:r>
            <w:r>
              <w:rPr>
                <w:b w:val="0"/>
                <w:i w:val="0"/>
                <w:sz w:val="18"/>
              </w:rPr>
              <w:t xml:space="preserve"> </w:t>
            </w:r>
            <w:r>
              <w:rPr>
                <w:b w:val="0"/>
                <w:i w:val="0"/>
                <w:sz w:val="18"/>
              </w:rPr>
              <w:t xml:space="preserve"> </w:t>
            </w:r>
            <w:r>
              <w:rPr>
                <w:b w:val="0"/>
                <w:i w:val="0"/>
                <w:sz w:val="18"/>
              </w:rPr>
              <w:t>µε</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Axial strain including Poisson coupling</w:t>
            </w:r>
            <w:r>
              <w:rPr>
                <w:b w:val="0"/>
                <w:i w:val="0"/>
                <w:sz w:val="18"/>
              </w:rPr>
              <w:t xml:space="preserve"> </w:t>
            </w:r>
            <w:r>
              <w:rPr>
                <w:b w:val="0"/>
                <w:i w:val="0"/>
                <w:sz w:val="18"/>
              </w:rPr>
              <w:t xml:space="preserve"> (</w:t>
            </w:r>
            <w:r>
              <w:rPr>
                <w:b w:val="0"/>
                <w:i w:val="0"/>
                <w:sz w:val="18"/>
              </w:rPr>
              <w:t xml:space="preserve"> </w:t>
            </w:r>
            <w:r>
              <w:rPr>
                <w:b w:val="0"/>
                <w:i w:val="0"/>
                <w:sz w:val="18"/>
              </w:rPr>
              <w:t>µε</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246.3161</w:t>
            </w:r>
          </w:p>
        </w:tc>
        <w:tc>
          <w:tcPr>
            <w:tcW w:type="dxa" w:w="1632"/>
            <w:vAlign w:val="center"/>
            <w:shd w:fill="FFFFFF"/>
          </w:tcPr>
          <w:p>
            <w:pPr>
              <w:spacing w:after="100" w:before="100"/>
            </w:pPr>
            <w:r>
              <w:rPr>
                <w:b w:val="0"/>
                <w:i w:val="0"/>
                <w:sz w:val="18"/>
              </w:rPr>
              <w:t>246.3132</w:t>
            </w:r>
          </w:p>
        </w:tc>
        <w:tc>
          <w:tcPr>
            <w:tcW w:type="dxa" w:w="1632"/>
            <w:vAlign w:val="center"/>
            <w:shd w:fill="FFFFFF"/>
          </w:tcPr>
          <w:p>
            <w:pPr>
              <w:spacing w:after="100" w:before="100"/>
            </w:pPr>
            <w:r>
              <w:rPr>
                <w:b w:val="0"/>
                <w:i w:val="0"/>
                <w:sz w:val="18"/>
              </w:rPr>
              <w:t>0.00114902</w:t>
            </w:r>
          </w:p>
        </w:tc>
        <w:tc>
          <w:tcPr>
            <w:tcW w:type="dxa" w:w="1632"/>
            <w:vAlign w:val="center"/>
            <w:shd w:fill="FFFFFF"/>
          </w:tcPr>
          <w:p>
            <w:pPr>
              <w:spacing w:after="100" w:before="100"/>
            </w:pPr>
            <w:r>
              <w:rPr>
                <w:b w:val="0"/>
                <w:i w:val="0"/>
                <w:sz w:val="18"/>
              </w:rPr>
              <w:t>0.05</w:t>
            </w:r>
            <w:r>
              <w:rPr>
                <w:b w:val="0"/>
                <w:i w:val="0"/>
                <w:sz w:val="18"/>
              </w:rPr>
              <w:t xml:space="preserve"> </w:t>
            </w:r>
            <w:r>
              <w:rPr>
                <w:b w:val="0"/>
                <w:i w:val="0"/>
                <w:sz w:val="18"/>
              </w:rPr>
              <w:t xml:space="preserve">% + </w:t>
            </w:r>
            <w:r>
              <w:rPr>
                <w:b w:val="0"/>
                <w:i w:val="0"/>
                <w:sz w:val="18"/>
              </w:rPr>
              <w:t xml:space="preserve"> </w:t>
            </w:r>
            <w:r>
              <w:rPr>
                <w:b w:val="0"/>
                <w:i w:val="0"/>
                <w:sz w:val="18"/>
              </w:rPr>
              <w:t>0.01</w:t>
            </w:r>
            <w:r>
              <w:rPr>
                <w:b w:val="0"/>
                <w:i w:val="0"/>
                <w:sz w:val="18"/>
              </w:rPr>
              <w:t xml:space="preserve"> </w:t>
            </w:r>
            <w:r>
              <w:rPr>
                <w:b w:val="0"/>
                <w:i w:val="0"/>
                <w:sz w:val="18"/>
              </w:rPr>
              <w:t xml:space="preserve"> </w:t>
            </w:r>
            <w:r>
              <w:rPr>
                <w:b w:val="0"/>
                <w:i w:val="0"/>
                <w:sz w:val="18"/>
              </w:rPr>
              <w:t xml:space="preserve"> </w:t>
            </w:r>
            <w:r>
              <w:rPr>
                <w:b w:val="0"/>
                <w:i w:val="0"/>
                <w:sz w:val="18"/>
              </w:rPr>
              <w:t>µε</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3">
        <w:r>
          <w:rPr>
            <w:color w:val="176EA4"/>
          </w:rPr>
          <w:t>MIT / David Roylance — Pressure Vessels </w:t>
        </w:r>
      </w:hyperlink>
      <w:r>
        <w:t xml:space="preserve"> </w:t>
      </w:r>
      <w:r>
        <w:rPr>
          <w:b w:val="0"/>
          <w:i w:val="0"/>
        </w:rPr>
        <w:t>Equations 2–3, printed page 3; orthotropic strain compliance from laminated plates reference</w:t>
      </w:r>
      <w:r>
        <w:rPr>
          <w:b w:val="0"/>
          <w:i w:val="0"/>
        </w:rPr>
        <w:t xml:space="preserve"> </w:t>
      </w:r>
      <w:r>
        <w:rPr>
          <w:b w:val="0"/>
          <w:i w:val="0"/>
        </w:rPr>
        <w:t xml:space="preserve">. </w:t>
      </w:r>
      <w:r>
        <w:rPr>
          <w:b w:val="0"/>
          <w:i w:val="0"/>
        </w:rPr>
        <w:t xml:space="preserve"> </w:t>
      </w:r>
      <w:r>
        <w:rPr>
          <w:b w:val="0"/>
          <w:i w:val="0"/>
        </w:rPr>
        <w:t>Thin-wall, closed-end pristine cylinder. No slit, fracture or failure-pressure validation.</w:t>
      </w:r>
      <w:r>
        <w:t xml:space="preserve"> </w:t>
      </w: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Pressure reference inputs</w:t>
      </w:r>
    </w:p>
    <w:p>
      <w:r>
        <w:t>Exact numerical inputs are retained in the linked validation evidence.</w:t>
      </w:r>
    </w:p>
    <w:p>
      <w:pPr>
        <w:pStyle w:val="ListBullet"/>
      </w:pPr>
      <w:r>
        <w:rPr>
          <w:b w:val="0"/>
          <w:i w:val="0"/>
        </w:rPr>
        <w:t>Thin-wall membrane theory: no through-wall radial stress profile or local end effects.</w:t>
      </w:r>
    </w:p>
    <w:p>
      <w:pPr/>
      <w:hyperlink r:id="rId84">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Thermal cycle: surface-to-core lag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One-dimensional through-thickness transport; lateral heat loss and oven airflow are not resolved. Inspect linked cure settings before interpreting reaction heating.</w:t>
      </w:r>
    </w:p>
    <w:p>
      <w:pPr/>
      <w:hyperlink r:id="rId85">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Moisture conditioning and diffusion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One-dimensional Fickian transport with the selected constitutive inputs, not a prediction of chemical degradation.</w:t>
      </w:r>
    </w:p>
    <w:p>
      <w:pPr/>
      <w:hyperlink r:id="rId86">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Bonded joint: two adherends and adhesive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Perfectly bonded linear-elastic interfaces. Mesh-sensitive edge peaks are not joint strength, debonding or damage predictions.</w:t>
      </w:r>
    </w:p>
    <w:p>
      <w:pPr/>
      <w:hyperlink r:id="rId87">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Coupled cure, thermal, moisture and structural response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Use the solver’s reported coupling state and limits. Do not assume this constitutes a general 3D coupled finite-element model or a calibrated cure-residual-stress prediction.</w:t>
      </w:r>
    </w:p>
    <w:p>
      <w:pPr/>
      <w:hyperlink r:id="rId88">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NASA · T700/PR520 lamina analysis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The copied T700/EP180 database is a connected starter, not T700/PR520. Complete the constituent setup below before comparing with NASA.</w:t>
      </w:r>
    </w:p>
    <w:p>
      <w:pPr>
        <w:pStyle w:val="ListBullet"/>
      </w:pPr>
      <w:hyperlink r:id="rId89">
        <w:r>
          <w:rPr>
            <w:color w:val="176EA4"/>
          </w:rPr>
          <w:t>NASA/TM—2015-218814 — Experimental and Numerical Analysis of Triaxially Braided Composites Utilizing a Modified Subcell Modeling Approach </w:t>
        </w:r>
      </w:hyperlink>
      <w:r>
        <w:t xml:space="preserve"> </w:t>
      </w:r>
      <w:r>
        <w:rPr>
          <w:b w:val="0"/>
          <w:i w:val="0"/>
        </w:rPr>
        <w:t>Tables 3–4, printed page 7 / PDF page 11</w:t>
      </w:r>
      <w:r>
        <w:rPr>
          <w:b w:val="0"/>
          <w:i w:val="0"/>
        </w:rPr>
        <w:t xml:space="preserve"> </w:t>
      </w:r>
      <w:r>
        <w:rPr>
          <w:b w:val="0"/>
          <w:i w:val="0"/>
        </w:rPr>
        <w:t xml:space="preserve">. </w:t>
      </w:r>
      <w:r>
        <w:rPr>
          <w:b w:val="0"/>
          <w:i w:val="0"/>
        </w:rPr>
        <w:t xml:space="preserve"> </w:t>
      </w:r>
      <w:r>
        <w:rPr>
          <w:b w:val="0"/>
          <w:i w:val="0"/>
        </w:rPr>
        <w:t>MAC/GMC calculated effective ply data, not measured UD coupon properties.</w:t>
      </w:r>
      <w:r>
        <w:t xml:space="preserve"> </w:t>
      </w:r>
    </w:p>
    <w:p>
      <w:pPr>
        <w:pStyle w:val="Heading3"/>
      </w:pPr>
      <w:r>
        <w:t>Tested inputs</w:t>
      </w:r>
    </w:p>
    <w:p>
      <w:pPr>
        <w:pStyle w:val="ListBullet"/>
      </w:pPr>
      <w:r>
        <w:rPr>
          <w:b w:val="0"/>
          <w:i w:val="0"/>
        </w:rPr>
        <w:t>Constituent-to-lamina screening only. The NASA braid subcells, calibrated LS-DYNA damage and coupon validation are not reproduced.</w:t>
      </w:r>
    </w:p>
    <w:p>
      <w:pPr>
        <w:keepNext/>
      </w:pPr>
      <w:r>
        <w:rPr>
          <w:b/>
          <w:i w:val="0"/>
        </w:rPr>
        <w:t xml:space="preserve">Separate published-data fixture: </w:t>
      </w:r>
      <w:r>
        <w:rPr>
          <w:b/>
          <w:i w:val="0"/>
        </w:rPr>
        <w:t xml:space="preserve"> </w:t>
      </w:r>
      <w:r>
        <w:rPr>
          <w:b/>
          <w:i w:val="0"/>
        </w:rPr>
        <w:t>Benchmark discrepancy</w:t>
      </w:r>
    </w:p>
    <w:p>
      <w:pPr/>
      <w:r>
        <w:rPr>
          <w:b w:val="0"/>
          <w:i w:val="0"/>
        </w:rPr>
        <w:t>Source-matched constituent fixture compared with NASA MAC/GMC, 1% exploratory equivalence criterion declared before running. A different homogenization model need not match; mismatch is retained, not fitted away.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E1 at Vf=0.375</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88.75</w:t>
            </w:r>
          </w:p>
        </w:tc>
        <w:tc>
          <w:tcPr>
            <w:tcW w:type="dxa" w:w="1632"/>
            <w:vAlign w:val="center"/>
            <w:shd w:fill="FFFFFF"/>
          </w:tcPr>
          <w:p>
            <w:pPr>
              <w:spacing w:after="100" w:before="100"/>
            </w:pPr>
            <w:r>
              <w:rPr>
                <w:b w:val="0"/>
                <w:i w:val="0"/>
                <w:sz w:val="18"/>
              </w:rPr>
              <w:t>88.5</w:t>
            </w:r>
          </w:p>
        </w:tc>
        <w:tc>
          <w:tcPr>
            <w:tcW w:type="dxa" w:w="1632"/>
            <w:vAlign w:val="center"/>
            <w:shd w:fill="FFFFFF"/>
          </w:tcPr>
          <w:p>
            <w:pPr>
              <w:spacing w:after="100" w:before="100"/>
            </w:pPr>
            <w:r>
              <w:rPr>
                <w:b w:val="0"/>
                <w:i w:val="0"/>
                <w:sz w:val="18"/>
              </w:rPr>
              <w:t>0.2824859</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E2 at Vf=0.375</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5.51724</w:t>
            </w:r>
          </w:p>
        </w:tc>
        <w:tc>
          <w:tcPr>
            <w:tcW w:type="dxa" w:w="1632"/>
            <w:vAlign w:val="center"/>
            <w:shd w:fill="FFFFFF"/>
          </w:tcPr>
          <w:p>
            <w:pPr>
              <w:spacing w:after="100" w:before="100"/>
            </w:pPr>
            <w:r>
              <w:rPr>
                <w:b w:val="0"/>
                <w:i w:val="0"/>
                <w:sz w:val="18"/>
              </w:rPr>
              <w:t>6.22</w:t>
            </w:r>
          </w:p>
        </w:tc>
        <w:tc>
          <w:tcPr>
            <w:tcW w:type="dxa" w:w="1632"/>
            <w:vAlign w:val="center"/>
            <w:shd w:fill="FFFFFF"/>
          </w:tcPr>
          <w:p>
            <w:pPr>
              <w:spacing w:after="100" w:before="100"/>
            </w:pPr>
            <w:r>
              <w:rPr>
                <w:b w:val="0"/>
                <w:i w:val="0"/>
                <w:sz w:val="18"/>
              </w:rPr>
              <w:t>-11.29839</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G12 at Vf=0.375</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2.23256</w:t>
            </w:r>
          </w:p>
        </w:tc>
        <w:tc>
          <w:tcPr>
            <w:tcW w:type="dxa" w:w="1632"/>
            <w:vAlign w:val="center"/>
            <w:shd w:fill="FFFFFF"/>
          </w:tcPr>
          <w:p>
            <w:pPr>
              <w:spacing w:after="100" w:before="100"/>
            </w:pPr>
            <w:r>
              <w:rPr>
                <w:b w:val="0"/>
                <w:i w:val="0"/>
                <w:sz w:val="18"/>
              </w:rPr>
              <w:t>2.6</w:t>
            </w:r>
          </w:p>
        </w:tc>
        <w:tc>
          <w:tcPr>
            <w:tcW w:type="dxa" w:w="1632"/>
            <w:vAlign w:val="center"/>
            <w:shd w:fill="FFFFFF"/>
          </w:tcPr>
          <w:p>
            <w:pPr>
              <w:spacing w:after="100" w:before="100"/>
            </w:pPr>
            <w:r>
              <w:rPr>
                <w:b w:val="0"/>
                <w:i w:val="0"/>
                <w:sz w:val="18"/>
              </w:rPr>
              <w:t>-14.13231</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E1 at Vf=0.733</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169.658</w:t>
            </w:r>
          </w:p>
        </w:tc>
        <w:tc>
          <w:tcPr>
            <w:tcW w:type="dxa" w:w="1632"/>
            <w:vAlign w:val="center"/>
            <w:shd w:fill="FFFFFF"/>
          </w:tcPr>
          <w:p>
            <w:pPr>
              <w:spacing w:after="100" w:before="100"/>
            </w:pPr>
            <w:r>
              <w:rPr>
                <w:b w:val="0"/>
                <w:i w:val="0"/>
                <w:sz w:val="18"/>
              </w:rPr>
              <w:t>169.5</w:t>
            </w:r>
          </w:p>
        </w:tc>
        <w:tc>
          <w:tcPr>
            <w:tcW w:type="dxa" w:w="1632"/>
            <w:vAlign w:val="center"/>
            <w:shd w:fill="FFFFFF"/>
          </w:tcPr>
          <w:p>
            <w:pPr>
              <w:spacing w:after="100" w:before="100"/>
            </w:pPr>
            <w:r>
              <w:rPr>
                <w:b w:val="0"/>
                <w:i w:val="0"/>
                <w:sz w:val="18"/>
              </w:rPr>
              <w:t>0.09321534</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E2 at Vf=0.733</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8.64927</w:t>
            </w:r>
          </w:p>
        </w:tc>
        <w:tc>
          <w:tcPr>
            <w:tcW w:type="dxa" w:w="1632"/>
            <w:vAlign w:val="center"/>
            <w:shd w:fill="FFFFFF"/>
          </w:tcPr>
          <w:p>
            <w:pPr>
              <w:spacing w:after="100" w:before="100"/>
            </w:pPr>
            <w:r>
              <w:rPr>
                <w:b w:val="0"/>
                <w:i w:val="0"/>
                <w:sz w:val="18"/>
              </w:rPr>
              <w:t>9.9</w:t>
            </w:r>
          </w:p>
        </w:tc>
        <w:tc>
          <w:tcPr>
            <w:tcW w:type="dxa" w:w="1632"/>
            <w:vAlign w:val="center"/>
            <w:shd w:fill="FFFFFF"/>
          </w:tcPr>
          <w:p>
            <w:pPr>
              <w:spacing w:after="100" w:before="100"/>
            </w:pPr>
            <w:r>
              <w:rPr>
                <w:b w:val="0"/>
                <w:i w:val="0"/>
                <w:sz w:val="18"/>
              </w:rPr>
              <w:t>-12.63364</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G12 at Vf=0.733</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4.70445</w:t>
            </w:r>
          </w:p>
        </w:tc>
        <w:tc>
          <w:tcPr>
            <w:tcW w:type="dxa" w:w="1632"/>
            <w:vAlign w:val="center"/>
            <w:shd w:fill="FFFFFF"/>
          </w:tcPr>
          <w:p>
            <w:pPr>
              <w:spacing w:after="100" w:before="100"/>
            </w:pPr>
            <w:r>
              <w:rPr>
                <w:b w:val="0"/>
                <w:i w:val="0"/>
                <w:sz w:val="18"/>
              </w:rPr>
              <w:t>7</w:t>
            </w:r>
          </w:p>
        </w:tc>
        <w:tc>
          <w:tcPr>
            <w:tcW w:type="dxa" w:w="1632"/>
            <w:vAlign w:val="center"/>
            <w:shd w:fill="FFFFFF"/>
          </w:tcPr>
          <w:p>
            <w:pPr>
              <w:spacing w:after="100" w:before="100"/>
            </w:pPr>
            <w:r>
              <w:rPr>
                <w:b w:val="0"/>
                <w:i w:val="0"/>
                <w:sz w:val="18"/>
              </w:rPr>
              <w:t>-32.79357</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E1 at Vf=0.8</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184.8</w:t>
            </w:r>
          </w:p>
        </w:tc>
        <w:tc>
          <w:tcPr>
            <w:tcW w:type="dxa" w:w="1632"/>
            <w:vAlign w:val="center"/>
            <w:shd w:fill="FFFFFF"/>
          </w:tcPr>
          <w:p>
            <w:pPr>
              <w:spacing w:after="100" w:before="100"/>
            </w:pPr>
            <w:r>
              <w:rPr>
                <w:b w:val="0"/>
                <w:i w:val="0"/>
                <w:sz w:val="18"/>
              </w:rPr>
              <w:t>184.7</w:t>
            </w:r>
          </w:p>
        </w:tc>
        <w:tc>
          <w:tcPr>
            <w:tcW w:type="dxa" w:w="1632"/>
            <w:vAlign w:val="center"/>
            <w:shd w:fill="FFFFFF"/>
          </w:tcPr>
          <w:p>
            <w:pPr>
              <w:spacing w:after="100" w:before="100"/>
            </w:pPr>
            <w:r>
              <w:rPr>
                <w:b w:val="0"/>
                <w:i w:val="0"/>
                <w:sz w:val="18"/>
              </w:rPr>
              <w:t>0.05414185</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E2 at Vf=0.8</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9.67742</w:t>
            </w:r>
          </w:p>
        </w:tc>
        <w:tc>
          <w:tcPr>
            <w:tcW w:type="dxa" w:w="1632"/>
            <w:vAlign w:val="center"/>
            <w:shd w:fill="FFFFFF"/>
          </w:tcPr>
          <w:p>
            <w:pPr>
              <w:spacing w:after="100" w:before="100"/>
            </w:pPr>
            <w:r>
              <w:rPr>
                <w:b w:val="0"/>
                <w:i w:val="0"/>
                <w:sz w:val="18"/>
              </w:rPr>
              <w:t>10.9</w:t>
            </w:r>
          </w:p>
        </w:tc>
        <w:tc>
          <w:tcPr>
            <w:tcW w:type="dxa" w:w="1632"/>
            <w:vAlign w:val="center"/>
            <w:shd w:fill="FFFFFF"/>
          </w:tcPr>
          <w:p>
            <w:pPr>
              <w:spacing w:after="100" w:before="100"/>
            </w:pPr>
            <w:r>
              <w:rPr>
                <w:b w:val="0"/>
                <w:i w:val="0"/>
                <w:sz w:val="18"/>
              </w:rPr>
              <w:t>-11.21633</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G12 at Vf=0.8</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5.93407</w:t>
            </w:r>
          </w:p>
        </w:tc>
        <w:tc>
          <w:tcPr>
            <w:tcW w:type="dxa" w:w="1632"/>
            <w:vAlign w:val="center"/>
            <w:shd w:fill="FFFFFF"/>
          </w:tcPr>
          <w:p>
            <w:pPr>
              <w:spacing w:after="100" w:before="100"/>
            </w:pPr>
            <w:r>
              <w:rPr>
                <w:b w:val="0"/>
                <w:i w:val="0"/>
                <w:sz w:val="18"/>
              </w:rPr>
              <w:t>6</w:t>
            </w:r>
          </w:p>
        </w:tc>
        <w:tc>
          <w:tcPr>
            <w:tcW w:type="dxa" w:w="1632"/>
            <w:vAlign w:val="center"/>
            <w:shd w:fill="FFFFFF"/>
          </w:tcPr>
          <w:p>
            <w:pPr>
              <w:spacing w:after="100" w:before="100"/>
            </w:pPr>
            <w:r>
              <w:rPr>
                <w:b w:val="0"/>
                <w:i w:val="0"/>
                <w:sz w:val="18"/>
              </w:rPr>
              <w:t>-1.098833</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bl>
    <w:p>
      <w:pPr>
        <w:spacing w:after="0"/>
      </w:pPr>
    </w:p>
    <w:p>
      <w:pPr>
        <w:pStyle w:val="ListBullet"/>
      </w:pPr>
      <w:hyperlink r:id="rId89">
        <w:r>
          <w:rPr>
            <w:color w:val="176EA4"/>
          </w:rPr>
          <w:t>NASA/TM—2015-218814 — Experimental and Numerical Analysis of Triaxially Braided Composites Utilizing a Modified Subcell Modeling Approach </w:t>
        </w:r>
      </w:hyperlink>
      <w:r>
        <w:t xml:space="preserve"> </w:t>
      </w:r>
      <w:r>
        <w:rPr>
          <w:b w:val="0"/>
          <w:i w:val="0"/>
        </w:rPr>
        <w:t>Tables 3–4, printed page 7 / PDF page 11</w:t>
      </w:r>
      <w:r>
        <w:rPr>
          <w:b w:val="0"/>
          <w:i w:val="0"/>
        </w:rPr>
        <w:t xml:space="preserve"> </w:t>
      </w:r>
      <w:r>
        <w:rPr>
          <w:b w:val="0"/>
          <w:i w:val="0"/>
        </w:rPr>
        <w:t xml:space="preserve">. </w:t>
      </w:r>
      <w:r>
        <w:rPr>
          <w:b w:val="0"/>
          <w:i w:val="0"/>
        </w:rPr>
        <w:t xml:space="preserve"> </w:t>
      </w:r>
      <w:r>
        <w:rPr>
          <w:b w:val="0"/>
          <w:i w:val="0"/>
        </w:rPr>
        <w:t>MAC/GMC calculated effective ply data, not measured UD coupon properties.</w:t>
      </w:r>
      <w:r>
        <w:t xml:space="preserve"> </w:t>
      </w:r>
    </w:p>
    <w:p>
      <w:pPr>
        <w:keepNext/>
      </w:pPr>
      <w:r>
        <w:rPr>
          <w:b/>
          <w:i w:val="0"/>
        </w:rPr>
        <w:t>Fixture inputs</w:t>
      </w:r>
    </w:p>
    <w:p>
      <w:r>
        <w:t>Exact numerical inputs are retained in the linked validation evidence.</w:t>
      </w:r>
    </w:p>
    <w:p>
      <w:pPr>
        <w:keepNext/>
      </w:pPr>
      <w:r>
        <w:rPr>
          <w:b/>
          <w:i w:val="0"/>
        </w:rPr>
        <w:t xml:space="preserve">Separate published-data fixture: </w:t>
      </w:r>
      <w:r>
        <w:rPr>
          <w:b/>
          <w:i w:val="0"/>
        </w:rPr>
        <w:t xml:space="preserve"> </w:t>
      </w:r>
      <w:r>
        <w:rPr>
          <w:b/>
          <w:i w:val="0"/>
        </w:rPr>
        <w:t>Benchmark discrepancy</w:t>
      </w:r>
    </w:p>
    <w:p>
      <w:pPr/>
      <w:r>
        <w:rPr>
          <w:b w:val="0"/>
          <w:i w:val="0"/>
        </w:rPr>
        <w:t>Source-matched constituent fixture compared with NASA MAC/GMC, 1% exploratory equivalence criterion declared before running. A different homogenization model need not match; mismatch is retained, not fitted away.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E1 at Vf=0.375</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88.75</w:t>
            </w:r>
          </w:p>
        </w:tc>
        <w:tc>
          <w:tcPr>
            <w:tcW w:type="dxa" w:w="1632"/>
            <w:vAlign w:val="center"/>
            <w:shd w:fill="FFFFFF"/>
          </w:tcPr>
          <w:p>
            <w:pPr>
              <w:spacing w:after="100" w:before="100"/>
            </w:pPr>
            <w:r>
              <w:rPr>
                <w:b w:val="0"/>
                <w:i w:val="0"/>
                <w:sz w:val="18"/>
              </w:rPr>
              <w:t>88.5</w:t>
            </w:r>
          </w:p>
        </w:tc>
        <w:tc>
          <w:tcPr>
            <w:tcW w:type="dxa" w:w="1632"/>
            <w:vAlign w:val="center"/>
            <w:shd w:fill="FFFFFF"/>
          </w:tcPr>
          <w:p>
            <w:pPr>
              <w:spacing w:after="100" w:before="100"/>
            </w:pPr>
            <w:r>
              <w:rPr>
                <w:b w:val="0"/>
                <w:i w:val="0"/>
                <w:sz w:val="18"/>
              </w:rPr>
              <w:t>0.2824859</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E2 at Vf=0.375</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6.62252</w:t>
            </w:r>
          </w:p>
        </w:tc>
        <w:tc>
          <w:tcPr>
            <w:tcW w:type="dxa" w:w="1632"/>
            <w:vAlign w:val="center"/>
            <w:shd w:fill="FFFFFF"/>
          </w:tcPr>
          <w:p>
            <w:pPr>
              <w:spacing w:after="100" w:before="100"/>
            </w:pPr>
            <w:r>
              <w:rPr>
                <w:b w:val="0"/>
                <w:i w:val="0"/>
                <w:sz w:val="18"/>
              </w:rPr>
              <w:t>6.22</w:t>
            </w:r>
          </w:p>
        </w:tc>
        <w:tc>
          <w:tcPr>
            <w:tcW w:type="dxa" w:w="1632"/>
            <w:vAlign w:val="center"/>
            <w:shd w:fill="FFFFFF"/>
          </w:tcPr>
          <w:p>
            <w:pPr>
              <w:spacing w:after="100" w:before="100"/>
            </w:pPr>
            <w:r>
              <w:rPr>
                <w:b w:val="0"/>
                <w:i w:val="0"/>
                <w:sz w:val="18"/>
              </w:rPr>
              <w:t>6.471383</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G12 at Vf=0.375</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2.90406</w:t>
            </w:r>
          </w:p>
        </w:tc>
        <w:tc>
          <w:tcPr>
            <w:tcW w:type="dxa" w:w="1632"/>
            <w:vAlign w:val="center"/>
            <w:shd w:fill="FFFFFF"/>
          </w:tcPr>
          <w:p>
            <w:pPr>
              <w:spacing w:after="100" w:before="100"/>
            </w:pPr>
            <w:r>
              <w:rPr>
                <w:b w:val="0"/>
                <w:i w:val="0"/>
                <w:sz w:val="18"/>
              </w:rPr>
              <w:t>2.6</w:t>
            </w:r>
          </w:p>
        </w:tc>
        <w:tc>
          <w:tcPr>
            <w:tcW w:type="dxa" w:w="1632"/>
            <w:vAlign w:val="center"/>
            <w:shd w:fill="FFFFFF"/>
          </w:tcPr>
          <w:p>
            <w:pPr>
              <w:spacing w:after="100" w:before="100"/>
            </w:pPr>
            <w:r>
              <w:rPr>
                <w:b w:val="0"/>
                <w:i w:val="0"/>
                <w:sz w:val="18"/>
              </w:rPr>
              <w:t>11.69462</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E1 at Vf=0.733</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169.658</w:t>
            </w:r>
          </w:p>
        </w:tc>
        <w:tc>
          <w:tcPr>
            <w:tcW w:type="dxa" w:w="1632"/>
            <w:vAlign w:val="center"/>
            <w:shd w:fill="FFFFFF"/>
          </w:tcPr>
          <w:p>
            <w:pPr>
              <w:spacing w:after="100" w:before="100"/>
            </w:pPr>
            <w:r>
              <w:rPr>
                <w:b w:val="0"/>
                <w:i w:val="0"/>
                <w:sz w:val="18"/>
              </w:rPr>
              <w:t>169.5</w:t>
            </w:r>
          </w:p>
        </w:tc>
        <w:tc>
          <w:tcPr>
            <w:tcW w:type="dxa" w:w="1632"/>
            <w:vAlign w:val="center"/>
            <w:shd w:fill="FFFFFF"/>
          </w:tcPr>
          <w:p>
            <w:pPr>
              <w:spacing w:after="100" w:before="100"/>
            </w:pPr>
            <w:r>
              <w:rPr>
                <w:b w:val="0"/>
                <w:i w:val="0"/>
                <w:sz w:val="18"/>
              </w:rPr>
              <w:t>0.09321534</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E2 at Vf=0.733</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10.47761</w:t>
            </w:r>
          </w:p>
        </w:tc>
        <w:tc>
          <w:tcPr>
            <w:tcW w:type="dxa" w:w="1632"/>
            <w:vAlign w:val="center"/>
            <w:shd w:fill="FFFFFF"/>
          </w:tcPr>
          <w:p>
            <w:pPr>
              <w:spacing w:after="100" w:before="100"/>
            </w:pPr>
            <w:r>
              <w:rPr>
                <w:b w:val="0"/>
                <w:i w:val="0"/>
                <w:sz w:val="18"/>
              </w:rPr>
              <w:t>9.9</w:t>
            </w:r>
          </w:p>
        </w:tc>
        <w:tc>
          <w:tcPr>
            <w:tcW w:type="dxa" w:w="1632"/>
            <w:vAlign w:val="center"/>
            <w:shd w:fill="FFFFFF"/>
          </w:tcPr>
          <w:p>
            <w:pPr>
              <w:spacing w:after="100" w:before="100"/>
            </w:pPr>
            <w:r>
              <w:rPr>
                <w:b w:val="0"/>
                <w:i w:val="0"/>
                <w:sz w:val="18"/>
              </w:rPr>
              <w:t>5.834444</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G12 at Vf=0.733</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7.00011</w:t>
            </w:r>
          </w:p>
        </w:tc>
        <w:tc>
          <w:tcPr>
            <w:tcW w:type="dxa" w:w="1632"/>
            <w:vAlign w:val="center"/>
            <w:shd w:fill="FFFFFF"/>
          </w:tcPr>
          <w:p>
            <w:pPr>
              <w:spacing w:after="100" w:before="100"/>
            </w:pPr>
            <w:r>
              <w:rPr>
                <w:b w:val="0"/>
                <w:i w:val="0"/>
                <w:sz w:val="18"/>
              </w:rPr>
              <w:t>7</w:t>
            </w:r>
          </w:p>
        </w:tc>
        <w:tc>
          <w:tcPr>
            <w:tcW w:type="dxa" w:w="1632"/>
            <w:vAlign w:val="center"/>
            <w:shd w:fill="FFFFFF"/>
          </w:tcPr>
          <w:p>
            <w:pPr>
              <w:spacing w:after="100" w:before="100"/>
            </w:pPr>
            <w:r>
              <w:rPr>
                <w:b w:val="0"/>
                <w:i w:val="0"/>
                <w:sz w:val="18"/>
              </w:rPr>
              <w:t>0.00157143</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E1 at Vf=0.8</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184.8</w:t>
            </w:r>
          </w:p>
        </w:tc>
        <w:tc>
          <w:tcPr>
            <w:tcW w:type="dxa" w:w="1632"/>
            <w:vAlign w:val="center"/>
            <w:shd w:fill="FFFFFF"/>
          </w:tcPr>
          <w:p>
            <w:pPr>
              <w:spacing w:after="100" w:before="100"/>
            </w:pPr>
            <w:r>
              <w:rPr>
                <w:b w:val="0"/>
                <w:i w:val="0"/>
                <w:sz w:val="18"/>
              </w:rPr>
              <w:t>184.7</w:t>
            </w:r>
          </w:p>
        </w:tc>
        <w:tc>
          <w:tcPr>
            <w:tcW w:type="dxa" w:w="1632"/>
            <w:vAlign w:val="center"/>
            <w:shd w:fill="FFFFFF"/>
          </w:tcPr>
          <w:p>
            <w:pPr>
              <w:spacing w:after="100" w:before="100"/>
            </w:pPr>
            <w:r>
              <w:rPr>
                <w:b w:val="0"/>
                <w:i w:val="0"/>
                <w:sz w:val="18"/>
              </w:rPr>
              <w:t>0.05414185</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E2 at Vf=0.8</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11.43662</w:t>
            </w:r>
          </w:p>
        </w:tc>
        <w:tc>
          <w:tcPr>
            <w:tcW w:type="dxa" w:w="1632"/>
            <w:vAlign w:val="center"/>
            <w:shd w:fill="FFFFFF"/>
          </w:tcPr>
          <w:p>
            <w:pPr>
              <w:spacing w:after="100" w:before="100"/>
            </w:pPr>
            <w:r>
              <w:rPr>
                <w:b w:val="0"/>
                <w:i w:val="0"/>
                <w:sz w:val="18"/>
              </w:rPr>
              <w:t>10.9</w:t>
            </w:r>
          </w:p>
        </w:tc>
        <w:tc>
          <w:tcPr>
            <w:tcW w:type="dxa" w:w="1632"/>
            <w:vAlign w:val="center"/>
            <w:shd w:fill="FFFFFF"/>
          </w:tcPr>
          <w:p>
            <w:pPr>
              <w:spacing w:after="100" w:before="100"/>
            </w:pPr>
            <w:r>
              <w:rPr>
                <w:b w:val="0"/>
                <w:i w:val="0"/>
                <w:sz w:val="18"/>
              </w:rPr>
              <w:t>4.923119</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r>
        <w:trPr>
          <w:cantSplit/>
        </w:trPr>
        <w:tc>
          <w:tcPr>
            <w:tcW w:type="dxa" w:w="1632"/>
            <w:vAlign w:val="center"/>
            <w:shd w:fill="FFFFFF"/>
          </w:tcPr>
          <w:p>
            <w:pPr>
              <w:spacing w:after="100" w:before="100"/>
            </w:pPr>
            <w:r>
              <w:rPr>
                <w:b w:val="0"/>
                <w:i w:val="0"/>
                <w:sz w:val="18"/>
              </w:rPr>
              <w:t>G12 at Vf=0.8</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8.80865</w:t>
            </w:r>
          </w:p>
        </w:tc>
        <w:tc>
          <w:tcPr>
            <w:tcW w:type="dxa" w:w="1632"/>
            <w:vAlign w:val="center"/>
            <w:shd w:fill="FFFFFF"/>
          </w:tcPr>
          <w:p>
            <w:pPr>
              <w:spacing w:after="100" w:before="100"/>
            </w:pPr>
            <w:r>
              <w:rPr>
                <w:b w:val="0"/>
                <w:i w:val="0"/>
                <w:sz w:val="18"/>
              </w:rPr>
              <w:t>6</w:t>
            </w:r>
          </w:p>
        </w:tc>
        <w:tc>
          <w:tcPr>
            <w:tcW w:type="dxa" w:w="1632"/>
            <w:vAlign w:val="center"/>
            <w:shd w:fill="FFFFFF"/>
          </w:tcPr>
          <w:p>
            <w:pPr>
              <w:spacing w:after="100" w:before="100"/>
            </w:pPr>
            <w:r>
              <w:rPr>
                <w:b w:val="0"/>
                <w:i w:val="0"/>
                <w:sz w:val="18"/>
              </w:rPr>
              <w:t>46.81083</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Discrepancy</w:t>
            </w:r>
          </w:p>
        </w:tc>
      </w:tr>
    </w:tbl>
    <w:p>
      <w:pPr>
        <w:spacing w:after="0"/>
      </w:pPr>
    </w:p>
    <w:p>
      <w:pPr>
        <w:pStyle w:val="ListBullet"/>
      </w:pPr>
      <w:hyperlink r:id="rId89">
        <w:r>
          <w:rPr>
            <w:color w:val="176EA4"/>
          </w:rPr>
          <w:t>NASA/TM—2015-218814 — Experimental and Numerical Analysis of Triaxially Braided Composites Utilizing a Modified Subcell Modeling Approach </w:t>
        </w:r>
      </w:hyperlink>
      <w:r>
        <w:t xml:space="preserve"> </w:t>
      </w:r>
      <w:r>
        <w:rPr>
          <w:b w:val="0"/>
          <w:i w:val="0"/>
        </w:rPr>
        <w:t>Tables 3–4, printed page 7 / PDF page 11</w:t>
      </w:r>
      <w:r>
        <w:rPr>
          <w:b w:val="0"/>
          <w:i w:val="0"/>
        </w:rPr>
        <w:t xml:space="preserve"> </w:t>
      </w:r>
      <w:r>
        <w:rPr>
          <w:b w:val="0"/>
          <w:i w:val="0"/>
        </w:rPr>
        <w:t xml:space="preserve">. </w:t>
      </w:r>
      <w:r>
        <w:rPr>
          <w:b w:val="0"/>
          <w:i w:val="0"/>
        </w:rPr>
        <w:t xml:space="preserve"> </w:t>
      </w:r>
      <w:r>
        <w:rPr>
          <w:b w:val="0"/>
          <w:i w:val="0"/>
        </w:rPr>
        <w:t>MAC/GMC calculated effective ply data, not measured UD coupon properties.</w:t>
      </w:r>
      <w:r>
        <w:t xml:space="preserve"> </w:t>
      </w:r>
    </w:p>
    <w:p>
      <w:pPr>
        <w:keepNext/>
      </w:pPr>
      <w:r>
        <w:rPr>
          <w:b/>
          <w:i w:val="0"/>
        </w:rPr>
        <w:t>Fixture inputs</w:t>
      </w:r>
    </w:p>
    <w:p>
      <w:r>
        <w:t>Exact numerical inputs are retained in the linked validation evidence.</w:t>
      </w:r>
    </w:p>
    <w:p>
      <w:pPr/>
      <w:hyperlink r:id="rId90">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NASA · Balanced T700/epoxy tube laminate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The copied IM7 pressure-vessel records are scaffolding. Replace the ply source and dimensions with the published T700/epoxy inputs; a pressure load is not an axial or torsional test.</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Classical-laminate and first-ply screening. Manufacturing variation and qualification are excluded; the source describes estimated ply data.</w:t>
      </w:r>
    </w:p>
    <w:p>
      <w:pPr>
        <w:keepNext/>
      </w:pPr>
      <w:r>
        <w:rPr>
          <w:b/>
          <w:i w:val="0"/>
        </w:rPr>
        <w:t xml:space="preserve">Separate published-data fixture: </w:t>
      </w:r>
      <w:r>
        <w:rPr>
          <w:b/>
          <w:i w:val="0"/>
        </w:rPr>
        <w:t xml:space="preserve"> </w:t>
      </w:r>
      <w:r>
        <w:rPr>
          <w:b/>
          <w:i w:val="0"/>
        </w:rPr>
        <w:t>Benchmark validated — published calculation</w:t>
      </w:r>
    </w:p>
    <w:p>
      <w:pPr/>
      <w:r>
        <w:rPr>
          <w:b w:val="0"/>
          <w:i w:val="0"/>
        </w:rPr>
        <w:t>Separate source-matched stiffness fixture, NOT the unchanged IM7 starter. Only Ex, Gxy and νxy. No experimental or strength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27.71415</w:t>
            </w:r>
          </w:p>
        </w:tc>
        <w:tc>
          <w:tcPr>
            <w:tcW w:type="dxa" w:w="1632"/>
            <w:vAlign w:val="center"/>
            <w:shd w:fill="FFFFFF"/>
          </w:tcPr>
          <w:p>
            <w:pPr>
              <w:spacing w:after="100" w:before="100"/>
            </w:pPr>
            <w:r>
              <w:rPr>
                <w:b w:val="0"/>
                <w:i w:val="0"/>
                <w:sz w:val="18"/>
              </w:rPr>
              <w:t>27.7</w:t>
            </w:r>
          </w:p>
        </w:tc>
        <w:tc>
          <w:tcPr>
            <w:tcW w:type="dxa" w:w="1632"/>
            <w:vAlign w:val="center"/>
            <w:shd w:fill="FFFFFF"/>
          </w:tcPr>
          <w:p>
            <w:pPr>
              <w:spacing w:after="100" w:before="100"/>
            </w:pPr>
            <w:r>
              <w:rPr>
                <w:b w:val="0"/>
                <w:i w:val="0"/>
                <w:sz w:val="18"/>
              </w:rPr>
              <w:t>0.05108303</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39.54424</w:t>
            </w:r>
          </w:p>
        </w:tc>
        <w:tc>
          <w:tcPr>
            <w:tcW w:type="dxa" w:w="1632"/>
            <w:vAlign w:val="center"/>
            <w:shd w:fill="FFFFFF"/>
          </w:tcPr>
          <w:p>
            <w:pPr>
              <w:spacing w:after="100" w:before="100"/>
            </w:pPr>
            <w:r>
              <w:rPr>
                <w:b w:val="0"/>
                <w:i w:val="0"/>
                <w:sz w:val="18"/>
              </w:rPr>
              <w:t>39.6</w:t>
            </w:r>
          </w:p>
        </w:tc>
        <w:tc>
          <w:tcPr>
            <w:tcW w:type="dxa" w:w="1632"/>
            <w:vAlign w:val="center"/>
            <w:shd w:fill="FFFFFF"/>
          </w:tcPr>
          <w:p>
            <w:pPr>
              <w:spacing w:after="100" w:before="100"/>
            </w:pPr>
            <w:r>
              <w:rPr>
                <w:b w:val="0"/>
                <w:i w:val="0"/>
                <w:sz w:val="18"/>
              </w:rPr>
              <w:t>-0.1408081</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0.67558</w:t>
            </w:r>
          </w:p>
        </w:tc>
        <w:tc>
          <w:tcPr>
            <w:tcW w:type="dxa" w:w="1632"/>
            <w:vAlign w:val="center"/>
            <w:shd w:fill="FFFFFF"/>
          </w:tcPr>
          <w:p>
            <w:pPr>
              <w:spacing w:after="100" w:before="100"/>
            </w:pPr>
            <w:r>
              <w:rPr>
                <w:b w:val="0"/>
                <w:i w:val="0"/>
                <w:sz w:val="18"/>
              </w:rPr>
              <w:t>0.68</w:t>
            </w:r>
          </w:p>
        </w:tc>
        <w:tc>
          <w:tcPr>
            <w:tcW w:type="dxa" w:w="1632"/>
            <w:vAlign w:val="center"/>
            <w:shd w:fill="FFFFFF"/>
          </w:tcPr>
          <w:p>
            <w:pPr>
              <w:spacing w:after="100" w:before="100"/>
            </w:pPr>
            <w:r>
              <w:rPr>
                <w:b w:val="0"/>
                <w:i w:val="0"/>
                <w:sz w:val="18"/>
              </w:rPr>
              <w:t>-0.65</w:t>
            </w:r>
          </w:p>
        </w:tc>
        <w:tc>
          <w:tcPr>
            <w:tcW w:type="dxa" w:w="1632"/>
            <w:vAlign w:val="center"/>
            <w:shd w:fill="FFFFFF"/>
          </w:tcPr>
          <w:p>
            <w:pPr>
              <w:spacing w:after="100" w:before="100"/>
            </w:pPr>
            <w:r>
              <w:rPr>
                <w:b w:val="0"/>
                <w:i w:val="0"/>
                <w:sz w:val="18"/>
              </w:rPr>
              <w:t>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keepNext/>
      </w:pPr>
      <w:r>
        <w:rPr>
          <w:b/>
          <w:i w:val="0"/>
        </w:rPr>
        <w:t>Fixture inputs</w:t>
      </w:r>
    </w:p>
    <w:p>
      <w:r>
        <w:t>Exact numerical inputs are retained in the linked validation evidence.</w:t>
      </w:r>
    </w:p>
    <w:p>
      <w:pPr/>
      <w:hyperlink r:id="rId92">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NASA · Thick T700S/TC380 cure process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The starter resin and cycle are not TC380 calibration. The source supplies the schedule and measured checkpoints, but not all kinetics, heat-of-reaction or transport inputs. Source those inputs before a quantitative comparison.</w:t>
      </w:r>
    </w:p>
    <w:p>
      <w:pPr>
        <w:pStyle w:val="ListBullet"/>
      </w:pPr>
      <w:hyperlink r:id="rId93">
        <w:r>
          <w:rPr>
            <w:color w:val="176EA4"/>
          </w:rPr>
          <w:t>NASA — Evaluation of Temperature Gradients During Cure of a Thick Carbon Fiber/Epoxy Composite </w:t>
        </w:r>
      </w:hyperlink>
      <w:r>
        <w:t xml:space="preserve"> </w:t>
      </w:r>
      <w:r>
        <w:rPr>
          <w:b w:val="0"/>
          <w:i w:val="0"/>
        </w:rPr>
        <w:t>Source study identified; quantitative reproduction not established</w:t>
      </w:r>
      <w:r>
        <w:rPr>
          <w:b w:val="0"/>
          <w:i w:val="0"/>
        </w:rPr>
        <w:t xml:space="preserve"> </w:t>
      </w:r>
      <w:r>
        <w:rPr>
          <w:b w:val="0"/>
          <w:i w:val="0"/>
        </w:rPr>
        <w:t xml:space="preserve">. </w:t>
      </w:r>
      <w:r>
        <w:rPr>
          <w:b w:val="0"/>
          <w:i w:val="0"/>
        </w:rPr>
        <w:t xml:space="preserve"> </w:t>
      </w:r>
      <w:r>
        <w:rPr>
          <w:b w:val="0"/>
          <w:i w:val="0"/>
        </w:rPr>
        <w:t>TC380 kinetics, reaction heat, transport, boundary characterization and digitized measurements still required.</w:t>
      </w:r>
      <w:r>
        <w:t xml:space="preserve"> </w:t>
      </w:r>
    </w:p>
    <w:p>
      <w:pPr>
        <w:pStyle w:val="Heading3"/>
      </w:pPr>
      <w:r>
        <w:t>Tested inputs</w:t>
      </w:r>
    </w:p>
    <w:p>
      <w:pPr>
        <w:pStyle w:val="ListBullet"/>
      </w:pPr>
      <w:r>
        <w:rPr>
          <w:b w:val="0"/>
          <w:i w:val="0"/>
        </w:rPr>
        <w:t>One-dimensional through-thickness study, not oven airflow or a general 3D process model. Missing TC380 calibration remains a setup requirement, never a default validated result.</w:t>
      </w:r>
    </w:p>
    <w:p>
      <w:pPr/>
      <w:hyperlink r:id="rId94">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NASA · AS4/3501-6 pressure-cylinder screening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The starter uses IM7/8552, not AS4/3501-6. Supply traceable AS4/3501-6 ply properties, thickness and the source diameter convention before comparison. Slits are intentionally outside this pristine-cylinder model.</w:t>
      </w:r>
    </w:p>
    <w:p>
      <w:pPr>
        <w:pStyle w:val="ListBullet"/>
      </w:pPr>
      <w:hyperlink r:id="rId95">
        <w:r>
          <w:rPr>
            <w:color w:val="176EA4"/>
          </w:rPr>
          <w:t>NASA-CR-195101 — Damage Tolerance of Pressurized Graphite/Epoxy Tape Cylinders Under Uniaxial and Biaxial Loading </w:t>
        </w:r>
      </w:hyperlink>
      <w:r>
        <w:t xml:space="preserve"> </w:t>
      </w:r>
      <w:r>
        <w:rPr>
          <w:b w:val="0"/>
          <w:i w:val="0"/>
        </w:rPr>
        <w:t>Source study identified; matched slit-cylinder dataset not reproduced</w:t>
      </w:r>
      <w:r>
        <w:rPr>
          <w:b w:val="0"/>
          <w:i w:val="0"/>
        </w:rPr>
        <w:t xml:space="preserve"> </w:t>
      </w:r>
      <w:r>
        <w:rPr>
          <w:b w:val="0"/>
          <w:i w:val="0"/>
        </w:rPr>
        <w:t xml:space="preserve">. </w:t>
      </w:r>
      <w:r>
        <w:rPr>
          <w:b w:val="0"/>
          <w:i w:val="0"/>
        </w:rPr>
        <w:t xml:space="preserve"> </w:t>
      </w:r>
      <w:r>
        <w:rPr>
          <w:b w:val="0"/>
          <w:i w:val="0"/>
        </w:rPr>
        <w:t>Slit-tip damage and failure pressure are outside pristine membrane scope.</w:t>
      </w:r>
      <w:r>
        <w:t xml:space="preserve"> </w:t>
      </w:r>
    </w:p>
    <w:p>
      <w:pPr>
        <w:pStyle w:val="Heading3"/>
      </w:pPr>
      <w:r>
        <w:t>Tested inputs</w:t>
      </w:r>
    </w:p>
    <w:p>
      <w:pPr>
        <w:pStyle w:val="ListBullet"/>
      </w:pPr>
      <w:r>
        <w:rPr>
          <w:b w:val="0"/>
          <w:i w:val="0"/>
        </w:rPr>
        <w:t>Pristine-cylinder screening only. Slit-tip fracture, splitting, delamination, nonlinear local response and the source’s subcritical damage are not solved here.</w:t>
      </w:r>
    </w:p>
    <w:p>
      <w:pPr/>
      <w:hyperlink r:id="rId96">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Pultrusion: heated die and residence time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Hypothetical teaching process using existing T700/epoxy laminate properties and illustrative cure parameters, not a calibrated pultrusion recipe. Constant-speed moving section; no axial conduction, impregnation, leakage, die thermal mass or pulling-force prediction. Use Thermal Run, not batch-cycle optimization.</w:t>
      </w:r>
    </w:p>
    <w:p>
      <w:pPr/>
      <w:hyperlink r:id="rId97">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Pultrusion: multi-zone die and pulling speed</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Hypothetical teaching process using existing T700/epoxy laminate properties and illustrative cure parameters, not a calibrated pultrusion recipe. Constant-speed moving section; no axial conduction, impregnation, leakage, die thermal mass or pulling-force prediction. Use Thermal Run, not batch-cycle optimization.</w:t>
      </w:r>
    </w:p>
    <w:p>
      <w:pPr/>
      <w:hyperlink r:id="rId98">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UV cure: exposure, penetration and exotherm</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Hypothetical UV-compatible teaching composite: inherited T700/epoxy elastic and transport values do not establish commercial resin UV compatibility or carbon-composite transparency. Effective optics, kinetics and enthalpy require calibration. No oxygen transport, shadowing, multiple scattering or radical dark cure. Use Run, not UV process optimization.</w:t>
      </w:r>
    </w:p>
    <w:p>
      <w:pPr/>
      <w:hyperlink r:id="rId99">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01 · Rule of mixtures · continuous fibers</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1.71373e-06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1.71373e-06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19.35659</w:t>
            </w:r>
          </w:p>
        </w:tc>
        <w:tc>
          <w:tcPr>
            <w:tcW w:type="dxa" w:w="1632"/>
            <w:vAlign w:val="center"/>
            <w:shd w:fill="FFFFFF"/>
          </w:tcPr>
          <w:p>
            <w:pPr>
              <w:spacing w:after="100" w:before="100"/>
            </w:pPr>
            <w:r>
              <w:rPr>
                <w:b w:val="0"/>
                <w:i w:val="0"/>
                <w:sz w:val="18"/>
              </w:rPr>
              <w:t>19.35659</w:t>
            </w:r>
          </w:p>
        </w:tc>
        <w:tc>
          <w:tcPr>
            <w:tcW w:type="dxa" w:w="1632"/>
            <w:vAlign w:val="center"/>
            <w:shd w:fill="FFFFFF"/>
          </w:tcPr>
          <w:p>
            <w:pPr>
              <w:spacing w:after="100" w:before="100"/>
            </w:pPr>
            <w:r>
              <w:rPr>
                <w:b w:val="0"/>
                <w:i w:val="0"/>
                <w:sz w:val="18"/>
              </w:rPr>
              <w:t>-2.84568e-06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0.31789</w:t>
            </w:r>
          </w:p>
        </w:tc>
        <w:tc>
          <w:tcPr>
            <w:tcW w:type="dxa" w:w="1632"/>
            <w:vAlign w:val="center"/>
            <w:shd w:fill="FFFFFF"/>
          </w:tcPr>
          <w:p>
            <w:pPr>
              <w:spacing w:after="100" w:before="100"/>
            </w:pPr>
            <w:r>
              <w:rPr>
                <w:b w:val="0"/>
                <w:i w:val="0"/>
                <w:sz w:val="18"/>
              </w:rPr>
              <w:t>0.317886</w:t>
            </w:r>
          </w:p>
        </w:tc>
        <w:tc>
          <w:tcPr>
            <w:tcW w:type="dxa" w:w="1632"/>
            <w:vAlign w:val="center"/>
            <w:shd w:fill="FFFFFF"/>
          </w:tcPr>
          <w:p>
            <w:pPr>
              <w:spacing w:after="100" w:before="100"/>
            </w:pPr>
            <w:r>
              <w:rPr>
                <w:b w:val="0"/>
                <w:i w:val="0"/>
                <w:sz w:val="18"/>
              </w:rPr>
              <w:t>0.00126045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E1</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139.38</w:t>
            </w:r>
          </w:p>
        </w:tc>
        <w:tc>
          <w:tcPr>
            <w:tcW w:type="dxa" w:w="1632"/>
            <w:vAlign w:val="center"/>
            <w:shd w:fill="FFFFFF"/>
          </w:tcPr>
          <w:p>
            <w:pPr>
              <w:spacing w:after="100" w:before="100"/>
            </w:pPr>
            <w:r>
              <w:rPr>
                <w:b w:val="0"/>
                <w:i w:val="0"/>
                <w:sz w:val="18"/>
              </w:rPr>
              <w:t>139.38</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E2</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6.41264</w:t>
            </w:r>
          </w:p>
        </w:tc>
        <w:tc>
          <w:tcPr>
            <w:tcW w:type="dxa" w:w="1632"/>
            <w:vAlign w:val="center"/>
            <w:shd w:fill="FFFFFF"/>
          </w:tcPr>
          <w:p>
            <w:pPr>
              <w:spacing w:after="100" w:before="100"/>
            </w:pPr>
            <w:r>
              <w:rPr>
                <w:b w:val="0"/>
                <w:i w:val="0"/>
                <w:sz w:val="18"/>
              </w:rPr>
              <w:t>6.412639</w:t>
            </w:r>
          </w:p>
        </w:tc>
        <w:tc>
          <w:tcPr>
            <w:tcW w:type="dxa" w:w="1632"/>
            <w:vAlign w:val="center"/>
            <w:shd w:fill="FFFFFF"/>
          </w:tcPr>
          <w:p>
            <w:pPr>
              <w:spacing w:after="100" w:before="100"/>
            </w:pPr>
            <w:r>
              <w:rPr>
                <w:b w:val="0"/>
                <w:i w:val="0"/>
                <w:sz w:val="18"/>
              </w:rPr>
              <w:t>9.27536e-06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G12</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2.98755</w:t>
            </w:r>
          </w:p>
        </w:tc>
        <w:tc>
          <w:tcPr>
            <w:tcW w:type="dxa" w:w="1632"/>
            <w:vAlign w:val="center"/>
            <w:shd w:fill="FFFFFF"/>
          </w:tcPr>
          <w:p>
            <w:pPr>
              <w:spacing w:after="100" w:before="100"/>
            </w:pPr>
            <w:r>
              <w:rPr>
                <w:b w:val="0"/>
                <w:i w:val="0"/>
                <w:sz w:val="18"/>
              </w:rPr>
              <w:t>2.987552</w:t>
            </w:r>
          </w:p>
        </w:tc>
        <w:tc>
          <w:tcPr>
            <w:tcW w:type="dxa" w:w="1632"/>
            <w:vAlign w:val="center"/>
            <w:shd w:fill="FFFFFF"/>
          </w:tcPr>
          <w:p>
            <w:pPr>
              <w:spacing w:after="100" w:before="100"/>
            </w:pPr>
            <w:r>
              <w:rPr>
                <w:b w:val="0"/>
                <w:i w:val="0"/>
                <w:sz w:val="18"/>
              </w:rPr>
              <w:t>-0.0000625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ν12</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0.26</w:t>
            </w:r>
          </w:p>
        </w:tc>
        <w:tc>
          <w:tcPr>
            <w:tcW w:type="dxa" w:w="1632"/>
            <w:vAlign w:val="center"/>
            <w:shd w:fill="FFFFFF"/>
          </w:tcPr>
          <w:p>
            <w:pPr>
              <w:spacing w:after="100" w:before="100"/>
            </w:pPr>
            <w:r>
              <w:rPr>
                <w:b w:val="0"/>
                <w:i w:val="0"/>
                <w:sz w:val="18"/>
              </w:rPr>
              <w:t>0.26</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ListBullet"/>
      </w:pPr>
      <w:hyperlink r:id="rId76">
        <w:r>
          <w:rPr>
            <w:color w:val="176EA4"/>
          </w:rPr>
          <w:t>MIT / David Roylance — Introduction to Composites </w:t>
        </w:r>
      </w:hyperlink>
      <w:r>
        <w:t xml:space="preserve"> </w:t>
      </w:r>
      <w:r>
        <w:rPr>
          <w:b w:val="0"/>
          <w:i w:val="0"/>
        </w:rPr>
        <w:t>Equations 1–3, printed pages 3–4</w:t>
      </w:r>
      <w:r>
        <w:rPr>
          <w:b w:val="0"/>
          <w:i w:val="0"/>
        </w:rPr>
        <w:t xml:space="preserve"> </w:t>
      </w:r>
      <w:r>
        <w:rPr>
          <w:b w:val="0"/>
          <w:i w:val="0"/>
        </w:rPr>
        <w:t xml:space="preserve">. </w:t>
      </w:r>
      <w:r>
        <w:rPr>
          <w:b w:val="0"/>
          <w:i w:val="0"/>
        </w:rPr>
        <w:t xml:space="preserve"> </w:t>
      </w:r>
      <w:r>
        <w:rPr>
          <w:b w:val="0"/>
          <w:i w:val="0"/>
        </w:rPr>
        <w:t>Published analytical equations; not experimental material validation.</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Ideal continuous, aligned reinforcement with zero voids. This is a teaching comparison, not a measured material allowable.</w:t>
      </w:r>
    </w:p>
    <w:p>
      <w:pPr/>
      <w:hyperlink r:id="rId100">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02 · Halpin–Tsai · transverse stiffness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Nonzero-void closure has no matched published calibration in this study</w:t>
      </w:r>
    </w:p>
    <w:p>
      <w:pPr>
        <w:pStyle w:val="Heading3"/>
      </w:pPr>
      <w:r>
        <w:t>Tested inputs</w:t>
      </w:r>
    </w:p>
    <w:p>
      <w:pPr>
        <w:pStyle w:val="ListBullet"/>
      </w:pPr>
      <w:r>
        <w:rPr>
          <w:b w:val="0"/>
          <w:i w:val="0"/>
        </w:rPr>
        <w:t>Use the editable model inputs and their documented assumptions; matching a trend does not validate a strength prediction.</w:t>
      </w:r>
    </w:p>
    <w:p>
      <w:pPr/>
      <w:hyperlink r:id="rId101">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03 · Short fibers · shear-lag transfer</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Architecture needs a separate benchmark</w:t>
      </w:r>
    </w:p>
    <w:p>
      <w:pPr>
        <w:pStyle w:val="Heading3"/>
      </w:pPr>
      <w:r>
        <w:t>Tested inputs</w:t>
      </w:r>
    </w:p>
    <w:p>
      <w:pPr>
        <w:pStyle w:val="ListBullet"/>
      </w:pPr>
      <w:r>
        <w:rPr>
          <w:b w:val="0"/>
          <w:i w:val="0"/>
        </w:rPr>
        <w:t>Aligned monodisperse elastic fibers, perfect interface and concentric-cell shear lag. Halpin–Tsai transverse/shear screening closure. Existing constituent data are reused; the short-fiber composite and its strength allowables are a hypothetical teaching system.</w:t>
      </w:r>
    </w:p>
    <w:p>
      <w:pPr/>
      <w:hyperlink r:id="rId102">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04 · Hybrid fibers · orientation distribution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Architecture needs a separate benchmark</w:t>
      </w:r>
    </w:p>
    <w:p>
      <w:pPr>
        <w:pStyle w:val="Heading3"/>
      </w:pPr>
      <w:r>
        <w:t>Tested inputs</w:t>
      </w:r>
    </w:p>
    <w:p>
      <w:pPr>
        <w:pStyle w:val="ListBullet"/>
      </w:pPr>
      <w:r>
        <w:rPr>
          <w:b w:val="0"/>
          <w:i w:val="0"/>
        </w:rPr>
        <w:t>Prescribed orientation, common filament dimensions and resin. Voigt stiffness averaging; not a manufacturing orientation prediction or progressive failure model. Thermal transport retains aligned closure assumptions.</w:t>
      </w:r>
    </w:p>
    <w:p>
      <w:pPr/>
      <w:hyperlink r:id="rId103">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05 · Tensile coupon · laminate orientation</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1.95976e-05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0.31022</w:t>
            </w:r>
          </w:p>
        </w:tc>
        <w:tc>
          <w:tcPr>
            <w:tcW w:type="dxa" w:w="1632"/>
            <w:vAlign w:val="center"/>
            <w:shd w:fill="FFFFFF"/>
          </w:tcPr>
          <w:p>
            <w:pPr>
              <w:spacing w:after="100" w:before="100"/>
            </w:pPr>
            <w:r>
              <w:rPr>
                <w:b w:val="0"/>
                <w:i w:val="0"/>
                <w:sz w:val="18"/>
              </w:rPr>
              <w:t>0.3102175</w:t>
            </w:r>
          </w:p>
        </w:tc>
        <w:tc>
          <w:tcPr>
            <w:tcW w:type="dxa" w:w="1632"/>
            <w:vAlign w:val="center"/>
            <w:shd w:fill="FFFFFF"/>
          </w:tcPr>
          <w:p>
            <w:pPr>
              <w:spacing w:after="100" w:before="100"/>
            </w:pPr>
            <w:r>
              <w:rPr>
                <w:b w:val="0"/>
                <w:i w:val="0"/>
                <w:sz w:val="18"/>
              </w:rPr>
              <w:t>0.000793473</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ASTM-based teaching geometry, not certification. Grips, tabs, alignment and physical test validity are not simulated.</w:t>
      </w:r>
    </w:p>
    <w:p>
      <w:pPr/>
      <w:hyperlink r:id="rId104">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06 · ±45° laminate · in-plane shear</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17.02827</w:t>
            </w:r>
          </w:p>
        </w:tc>
        <w:tc>
          <w:tcPr>
            <w:tcW w:type="dxa" w:w="1632"/>
            <w:vAlign w:val="center"/>
            <w:shd w:fill="FFFFFF"/>
          </w:tcPr>
          <w:p>
            <w:pPr>
              <w:spacing w:after="100" w:before="100"/>
            </w:pPr>
            <w:r>
              <w:rPr>
                <w:b w:val="0"/>
                <w:i w:val="0"/>
                <w:sz w:val="18"/>
              </w:rPr>
              <w:t>17.02827</w:t>
            </w:r>
          </w:p>
        </w:tc>
        <w:tc>
          <w:tcPr>
            <w:tcW w:type="dxa" w:w="1632"/>
            <w:vAlign w:val="center"/>
            <w:shd w:fill="FFFFFF"/>
          </w:tcPr>
          <w:p>
            <w:pPr>
              <w:spacing w:after="100" w:before="100"/>
            </w:pPr>
            <w:r>
              <w:rPr>
                <w:b w:val="0"/>
                <w:i w:val="0"/>
                <w:sz w:val="18"/>
              </w:rPr>
              <w:t>2.7757e-05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17.02827</w:t>
            </w:r>
          </w:p>
        </w:tc>
        <w:tc>
          <w:tcPr>
            <w:tcW w:type="dxa" w:w="1632"/>
            <w:vAlign w:val="center"/>
            <w:shd w:fill="FFFFFF"/>
          </w:tcPr>
          <w:p>
            <w:pPr>
              <w:spacing w:after="100" w:before="100"/>
            </w:pPr>
            <w:r>
              <w:rPr>
                <w:b w:val="0"/>
                <w:i w:val="0"/>
                <w:sz w:val="18"/>
              </w:rPr>
              <w:t>17.02827</w:t>
            </w:r>
          </w:p>
        </w:tc>
        <w:tc>
          <w:tcPr>
            <w:tcW w:type="dxa" w:w="1632"/>
            <w:vAlign w:val="center"/>
            <w:shd w:fill="FFFFFF"/>
          </w:tcPr>
          <w:p>
            <w:pPr>
              <w:spacing w:after="100" w:before="100"/>
            </w:pPr>
            <w:r>
              <w:rPr>
                <w:b w:val="0"/>
                <w:i w:val="0"/>
                <w:sz w:val="18"/>
              </w:rPr>
              <w:t>2.7757e-05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34.82813</w:t>
            </w:r>
          </w:p>
        </w:tc>
        <w:tc>
          <w:tcPr>
            <w:tcW w:type="dxa" w:w="1632"/>
            <w:vAlign w:val="center"/>
            <w:shd w:fill="FFFFFF"/>
          </w:tcPr>
          <w:p>
            <w:pPr>
              <w:spacing w:after="100" w:before="100"/>
            </w:pPr>
            <w:r>
              <w:rPr>
                <w:b w:val="0"/>
                <w:i w:val="0"/>
                <w:sz w:val="18"/>
              </w:rPr>
              <w:t>34.82813</w:t>
            </w:r>
          </w:p>
        </w:tc>
        <w:tc>
          <w:tcPr>
            <w:tcW w:type="dxa" w:w="1632"/>
            <w:vAlign w:val="center"/>
            <w:shd w:fill="FFFFFF"/>
          </w:tcPr>
          <w:p>
            <w:pPr>
              <w:spacing w:after="100" w:before="100"/>
            </w:pPr>
            <w:r>
              <w:rPr>
                <w:b w:val="0"/>
                <w:i w:val="0"/>
                <w:sz w:val="18"/>
              </w:rPr>
              <w:t>-6.41391e-06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0.77378</w:t>
            </w:r>
          </w:p>
        </w:tc>
        <w:tc>
          <w:tcPr>
            <w:tcW w:type="dxa" w:w="1632"/>
            <w:vAlign w:val="center"/>
            <w:shd w:fill="FFFFFF"/>
          </w:tcPr>
          <w:p>
            <w:pPr>
              <w:spacing w:after="100" w:before="100"/>
            </w:pPr>
            <w:r>
              <w:rPr>
                <w:b w:val="0"/>
                <w:i w:val="0"/>
                <w:sz w:val="18"/>
              </w:rPr>
              <w:t>0.7737776</w:t>
            </w:r>
          </w:p>
        </w:tc>
        <w:tc>
          <w:tcPr>
            <w:tcW w:type="dxa" w:w="1632"/>
            <w:vAlign w:val="center"/>
            <w:shd w:fill="FFFFFF"/>
          </w:tcPr>
          <w:p>
            <w:pPr>
              <w:spacing w:after="100" w:before="100"/>
            </w:pPr>
            <w:r>
              <w:rPr>
                <w:b w:val="0"/>
                <w:i w:val="0"/>
                <w:sz w:val="18"/>
              </w:rPr>
              <w:t>0.000305947</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Small-strain elastic teaching model; fibre rotation and nonlinear termination rules are not represented.</w:t>
      </w:r>
    </w:p>
    <w:p>
      <w:pPr/>
      <w:hyperlink r:id="rId105">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07 · Stored lamina material · bypass Micro</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1.95976e-05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0.31022</w:t>
            </w:r>
          </w:p>
        </w:tc>
        <w:tc>
          <w:tcPr>
            <w:tcW w:type="dxa" w:w="1632"/>
            <w:vAlign w:val="center"/>
            <w:shd w:fill="FFFFFF"/>
          </w:tcPr>
          <w:p>
            <w:pPr>
              <w:spacing w:after="100" w:before="100"/>
            </w:pPr>
            <w:r>
              <w:rPr>
                <w:b w:val="0"/>
                <w:i w:val="0"/>
                <w:sz w:val="18"/>
              </w:rPr>
              <w:t>0.3102175</w:t>
            </w:r>
          </w:p>
        </w:tc>
        <w:tc>
          <w:tcPr>
            <w:tcW w:type="dxa" w:w="1632"/>
            <w:vAlign w:val="center"/>
            <w:shd w:fill="FFFFFF"/>
          </w:tcPr>
          <w:p>
            <w:pPr>
              <w:spacing w:after="100" w:before="100"/>
            </w:pPr>
            <w:r>
              <w:rPr>
                <w:b w:val="0"/>
                <w:i w:val="0"/>
                <w:sz w:val="18"/>
              </w:rPr>
              <w:t>0.000793473</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representative lamina properties, not a solved Micro recipe or qualified design allowables.</w:t>
      </w:r>
    </w:p>
    <w:p>
      <w:pPr/>
      <w:hyperlink r:id="rId106">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08 · Mixed stored/solved plies · unequal thickness</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51.56151</w:t>
            </w:r>
          </w:p>
        </w:tc>
        <w:tc>
          <w:tcPr>
            <w:tcW w:type="dxa" w:w="1632"/>
            <w:vAlign w:val="center"/>
            <w:shd w:fill="FFFFFF"/>
          </w:tcPr>
          <w:p>
            <w:pPr>
              <w:spacing w:after="100" w:before="100"/>
            </w:pPr>
            <w:r>
              <w:rPr>
                <w:b w:val="0"/>
                <w:i w:val="0"/>
                <w:sz w:val="18"/>
              </w:rPr>
              <w:t>51.56151</w:t>
            </w:r>
          </w:p>
        </w:tc>
        <w:tc>
          <w:tcPr>
            <w:tcW w:type="dxa" w:w="1632"/>
            <w:vAlign w:val="center"/>
            <w:shd w:fill="FFFFFF"/>
          </w:tcPr>
          <w:p>
            <w:pPr>
              <w:spacing w:after="100" w:before="100"/>
            </w:pPr>
            <w:r>
              <w:rPr>
                <w:b w:val="0"/>
                <w:i w:val="0"/>
                <w:sz w:val="18"/>
              </w:rPr>
              <w:t>-5.55386e-06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51.56151</w:t>
            </w:r>
          </w:p>
        </w:tc>
        <w:tc>
          <w:tcPr>
            <w:tcW w:type="dxa" w:w="1632"/>
            <w:vAlign w:val="center"/>
            <w:shd w:fill="FFFFFF"/>
          </w:tcPr>
          <w:p>
            <w:pPr>
              <w:spacing w:after="100" w:before="100"/>
            </w:pPr>
            <w:r>
              <w:rPr>
                <w:b w:val="0"/>
                <w:i w:val="0"/>
                <w:sz w:val="18"/>
              </w:rPr>
              <w:t>51.56151</w:t>
            </w:r>
          </w:p>
        </w:tc>
        <w:tc>
          <w:tcPr>
            <w:tcW w:type="dxa" w:w="1632"/>
            <w:vAlign w:val="center"/>
            <w:shd w:fill="FFFFFF"/>
          </w:tcPr>
          <w:p>
            <w:pPr>
              <w:spacing w:after="100" w:before="100"/>
            </w:pPr>
            <w:r>
              <w:rPr>
                <w:b w:val="0"/>
                <w:i w:val="0"/>
                <w:sz w:val="18"/>
              </w:rPr>
              <w:t>-5.55386e-06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19.63108</w:t>
            </w:r>
          </w:p>
        </w:tc>
        <w:tc>
          <w:tcPr>
            <w:tcW w:type="dxa" w:w="1632"/>
            <w:vAlign w:val="center"/>
            <w:shd w:fill="FFFFFF"/>
          </w:tcPr>
          <w:p>
            <w:pPr>
              <w:spacing w:after="100" w:before="100"/>
            </w:pPr>
            <w:r>
              <w:rPr>
                <w:b w:val="0"/>
                <w:i w:val="0"/>
                <w:sz w:val="18"/>
              </w:rPr>
              <w:t>19.63108</w:t>
            </w:r>
          </w:p>
        </w:tc>
        <w:tc>
          <w:tcPr>
            <w:tcW w:type="dxa" w:w="1632"/>
            <w:vAlign w:val="center"/>
            <w:shd w:fill="FFFFFF"/>
          </w:tcPr>
          <w:p>
            <w:pPr>
              <w:spacing w:after="100" w:before="100"/>
            </w:pPr>
            <w:r>
              <w:rPr>
                <w:b w:val="0"/>
                <w:i w:val="0"/>
                <w:sz w:val="18"/>
              </w:rPr>
              <w:t>2.09337e-05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0.31326</w:t>
            </w:r>
          </w:p>
        </w:tc>
        <w:tc>
          <w:tcPr>
            <w:tcW w:type="dxa" w:w="1632"/>
            <w:vAlign w:val="center"/>
            <w:shd w:fill="FFFFFF"/>
          </w:tcPr>
          <w:p>
            <w:pPr>
              <w:spacing w:after="100" w:before="100"/>
            </w:pPr>
            <w:r>
              <w:rPr>
                <w:b w:val="0"/>
                <w:i w:val="0"/>
                <w:sz w:val="18"/>
              </w:rPr>
              <w:t>0.3132625</w:t>
            </w:r>
          </w:p>
        </w:tc>
        <w:tc>
          <w:tcPr>
            <w:tcW w:type="dxa" w:w="1632"/>
            <w:vAlign w:val="center"/>
            <w:shd w:fill="FFFFFF"/>
          </w:tcPr>
          <w:p>
            <w:pPr>
              <w:spacing w:after="100" w:before="100"/>
            </w:pPr>
            <w:r>
              <w:rPr>
                <w:b w:val="0"/>
                <w:i w:val="0"/>
                <w:sz w:val="18"/>
              </w:rPr>
              <w:t>-0.0008083</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E1</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139.38</w:t>
            </w:r>
          </w:p>
        </w:tc>
        <w:tc>
          <w:tcPr>
            <w:tcW w:type="dxa" w:w="1632"/>
            <w:vAlign w:val="center"/>
            <w:shd w:fill="FFFFFF"/>
          </w:tcPr>
          <w:p>
            <w:pPr>
              <w:spacing w:after="100" w:before="100"/>
            </w:pPr>
            <w:r>
              <w:rPr>
                <w:b w:val="0"/>
                <w:i w:val="0"/>
                <w:sz w:val="18"/>
              </w:rPr>
              <w:t>139.38</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E2</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6.41264</w:t>
            </w:r>
          </w:p>
        </w:tc>
        <w:tc>
          <w:tcPr>
            <w:tcW w:type="dxa" w:w="1632"/>
            <w:vAlign w:val="center"/>
            <w:shd w:fill="FFFFFF"/>
          </w:tcPr>
          <w:p>
            <w:pPr>
              <w:spacing w:after="100" w:before="100"/>
            </w:pPr>
            <w:r>
              <w:rPr>
                <w:b w:val="0"/>
                <w:i w:val="0"/>
                <w:sz w:val="18"/>
              </w:rPr>
              <w:t>6.412639</w:t>
            </w:r>
          </w:p>
        </w:tc>
        <w:tc>
          <w:tcPr>
            <w:tcW w:type="dxa" w:w="1632"/>
            <w:vAlign w:val="center"/>
            <w:shd w:fill="FFFFFF"/>
          </w:tcPr>
          <w:p>
            <w:pPr>
              <w:spacing w:after="100" w:before="100"/>
            </w:pPr>
            <w:r>
              <w:rPr>
                <w:b w:val="0"/>
                <w:i w:val="0"/>
                <w:sz w:val="18"/>
              </w:rPr>
              <w:t>9.27536e-06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G12</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2.98755</w:t>
            </w:r>
          </w:p>
        </w:tc>
        <w:tc>
          <w:tcPr>
            <w:tcW w:type="dxa" w:w="1632"/>
            <w:vAlign w:val="center"/>
            <w:shd w:fill="FFFFFF"/>
          </w:tcPr>
          <w:p>
            <w:pPr>
              <w:spacing w:after="100" w:before="100"/>
            </w:pPr>
            <w:r>
              <w:rPr>
                <w:b w:val="0"/>
                <w:i w:val="0"/>
                <w:sz w:val="18"/>
              </w:rPr>
              <w:t>2.987552</w:t>
            </w:r>
          </w:p>
        </w:tc>
        <w:tc>
          <w:tcPr>
            <w:tcW w:type="dxa" w:w="1632"/>
            <w:vAlign w:val="center"/>
            <w:shd w:fill="FFFFFF"/>
          </w:tcPr>
          <w:p>
            <w:pPr>
              <w:spacing w:after="100" w:before="100"/>
            </w:pPr>
            <w:r>
              <w:rPr>
                <w:b w:val="0"/>
                <w:i w:val="0"/>
                <w:sz w:val="18"/>
              </w:rPr>
              <w:t>-0.0000625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ν12</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0.26</w:t>
            </w:r>
          </w:p>
        </w:tc>
        <w:tc>
          <w:tcPr>
            <w:tcW w:type="dxa" w:w="1632"/>
            <w:vAlign w:val="center"/>
            <w:shd w:fill="FFFFFF"/>
          </w:tcPr>
          <w:p>
            <w:pPr>
              <w:spacing w:after="100" w:before="100"/>
            </w:pPr>
            <w:r>
              <w:rPr>
                <w:b w:val="0"/>
                <w:i w:val="0"/>
                <w:sz w:val="18"/>
              </w:rPr>
              <w:t>0.26</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ListBullet"/>
      </w:pPr>
      <w:hyperlink r:id="rId76">
        <w:r>
          <w:rPr>
            <w:color w:val="176EA4"/>
          </w:rPr>
          <w:t>MIT / David Roylance — Introduction to Composites </w:t>
        </w:r>
      </w:hyperlink>
      <w:r>
        <w:t xml:space="preserve"> </w:t>
      </w:r>
      <w:r>
        <w:rPr>
          <w:b w:val="0"/>
          <w:i w:val="0"/>
        </w:rPr>
        <w:t>Equations 1–3, printed pages 3–4</w:t>
      </w:r>
      <w:r>
        <w:rPr>
          <w:b w:val="0"/>
          <w:i w:val="0"/>
        </w:rPr>
        <w:t xml:space="preserve"> </w:t>
      </w:r>
      <w:r>
        <w:rPr>
          <w:b w:val="0"/>
          <w:i w:val="0"/>
        </w:rPr>
        <w:t xml:space="preserve">. </w:t>
      </w:r>
      <w:r>
        <w:rPr>
          <w:b w:val="0"/>
          <w:i w:val="0"/>
        </w:rPr>
        <w:t xml:space="preserve"> </w:t>
      </w:r>
      <w:r>
        <w:rPr>
          <w:b w:val="0"/>
          <w:i w:val="0"/>
        </w:rPr>
        <w:t>Published analytical equations; not experimental material validation.</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Reference-state elastic laminate comparison; different ply sources and thicknesses are intentional. Representative properties are not qualified allowables.</w:t>
      </w:r>
    </w:p>
    <w:p>
      <w:pPr/>
      <w:hyperlink r:id="rId107">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09 · Three-point bend · deflection</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Central-load beam deflection and shear, conditional on the reported effective Ex. Material elasticity, ply stress and failure not validated.</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1.95976e-05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0.31022</w:t>
            </w:r>
          </w:p>
        </w:tc>
        <w:tc>
          <w:tcPr>
            <w:tcW w:type="dxa" w:w="1632"/>
            <w:vAlign w:val="center"/>
            <w:shd w:fill="FFFFFF"/>
          </w:tcPr>
          <w:p>
            <w:pPr>
              <w:spacing w:after="100" w:before="100"/>
            </w:pPr>
            <w:r>
              <w:rPr>
                <w:b w:val="0"/>
                <w:i w:val="0"/>
                <w:sz w:val="18"/>
              </w:rPr>
              <w:t>0.3102175</w:t>
            </w:r>
          </w:p>
        </w:tc>
        <w:tc>
          <w:tcPr>
            <w:tcW w:type="dxa" w:w="1632"/>
            <w:vAlign w:val="center"/>
            <w:shd w:fill="FFFFFF"/>
          </w:tcPr>
          <w:p>
            <w:pPr>
              <w:spacing w:after="100" w:before="100"/>
            </w:pPr>
            <w:r>
              <w:rPr>
                <w:b w:val="0"/>
                <w:i w:val="0"/>
                <w:sz w:val="18"/>
              </w:rPr>
              <w:t>0.000793473</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Maximum deflection</w:t>
            </w:r>
            <w:r>
              <w:rPr>
                <w:b w:val="0"/>
                <w:i w:val="0"/>
                <w:sz w:val="18"/>
              </w:rPr>
              <w:t xml:space="preserve"> </w:t>
            </w:r>
            <w:r>
              <w:rPr>
                <w:b w:val="0"/>
                <w:i w:val="0"/>
                <w:sz w:val="18"/>
              </w:rPr>
              <w:t xml:space="preserve"> (</w:t>
            </w:r>
            <w:r>
              <w:rPr>
                <w:b w:val="0"/>
                <w:i w:val="0"/>
                <w:sz w:val="18"/>
              </w:rPr>
              <w:t xml:space="preserve"> </w:t>
            </w:r>
            <w:r>
              <w:rPr>
                <w:b w:val="0"/>
                <w:i w:val="0"/>
                <w:sz w:val="18"/>
              </w:rPr>
              <w:t>mm</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1.213667</w:t>
            </w:r>
          </w:p>
        </w:tc>
        <w:tc>
          <w:tcPr>
            <w:tcW w:type="dxa" w:w="1632"/>
            <w:vAlign w:val="center"/>
            <w:shd w:fill="FFFFFF"/>
          </w:tcPr>
          <w:p>
            <w:pPr>
              <w:spacing w:after="100" w:before="100"/>
            </w:pPr>
            <w:r>
              <w:rPr>
                <w:b w:val="0"/>
                <w:i w:val="0"/>
                <w:sz w:val="18"/>
              </w:rPr>
              <w:t>1.213667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0.05</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mm</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Maximum shear</w:t>
            </w:r>
            <w:r>
              <w:rPr>
                <w:b w:val="0"/>
                <w:i w:val="0"/>
                <w:sz w:val="18"/>
              </w:rPr>
              <w:t xml:space="preserve"> </w:t>
            </w:r>
            <w:r>
              <w:rPr>
                <w:b w:val="0"/>
                <w:i w:val="0"/>
                <w:sz w:val="18"/>
              </w:rPr>
              <w:t xml:space="preserve"> (</w:t>
            </w:r>
            <w:r>
              <w:rPr>
                <w:b w:val="0"/>
                <w:i w:val="0"/>
                <w:sz w:val="18"/>
              </w:rPr>
              <w:t xml:space="preserve"> </w:t>
            </w:r>
            <w:r>
              <w:rPr>
                <w:b w:val="0"/>
                <w:i w:val="0"/>
                <w:sz w:val="18"/>
              </w:rPr>
              <w:t>N</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50</w:t>
            </w:r>
          </w:p>
        </w:tc>
        <w:tc>
          <w:tcPr>
            <w:tcW w:type="dxa" w:w="1632"/>
            <w:vAlign w:val="center"/>
            <w:shd w:fill="FFFFFF"/>
          </w:tcPr>
          <w:p>
            <w:pPr>
              <w:spacing w:after="100" w:before="100"/>
            </w:pPr>
            <w:r>
              <w:rPr>
                <w:b w:val="0"/>
                <w:i w:val="0"/>
                <w:sz w:val="18"/>
              </w:rPr>
              <w:t>50</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N</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ListBullet"/>
      </w:pPr>
      <w:hyperlink r:id="rId81">
        <w:r>
          <w:rPr>
            <w:color w:val="176EA4"/>
          </w:rPr>
          <w:t>MIT / David Roylance — Beam Displacements </w:t>
        </w:r>
      </w:hyperlink>
      <w:r>
        <w:t xml:space="preserve"> </w:t>
      </w:r>
      <w:r>
        <w:rPr>
          <w:b w:val="0"/>
          <w:i w:val="0"/>
        </w:rPr>
        <w:t>Equation 7, printed page 3: central-load simply supported beam</w:t>
      </w:r>
      <w:r>
        <w:rPr>
          <w:b w:val="0"/>
          <w:i w:val="0"/>
        </w:rPr>
        <w:t xml:space="preserve"> </w:t>
      </w:r>
      <w:r>
        <w:rPr>
          <w:b w:val="0"/>
          <w:i w:val="0"/>
        </w:rPr>
        <w:t xml:space="preserve">. </w:t>
      </w:r>
      <w:r>
        <w:rPr>
          <w:b w:val="0"/>
          <w:i w:val="0"/>
        </w:rPr>
        <w:t xml:space="preserve"> </w:t>
      </w:r>
      <w:r>
        <w:rPr>
          <w:b w:val="0"/>
          <w:i w:val="0"/>
        </w:rPr>
        <w:t>Euler–Bernoulli analytical check; excludes shear, contact, damage and empirical stiffness validation.</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keepNext/>
      </w:pPr>
      <w:r>
        <w:rPr>
          <w:b/>
          <w:i w:val="0"/>
        </w:rPr>
        <w:t>Beam benchmark inputs</w:t>
      </w:r>
    </w:p>
    <w:p>
      <w:r>
        <w:t>Exact numerical inputs are retained in the linked validation evidence.</w:t>
      </w:r>
    </w:p>
    <w:p>
      <w:pPr>
        <w:pStyle w:val="ListBullet"/>
      </w:pPr>
      <w:r>
        <w:rPr>
          <w:b w:val="0"/>
          <w:i w:val="0"/>
        </w:rPr>
        <w:t>Procedure A teaching setup. Transverse shear deformation, roller contact and indentation are excluded.</w:t>
      </w:r>
    </w:p>
    <w:p>
      <w:pPr/>
      <w:hyperlink r:id="rId108">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10 · Cylinder · internal pressure</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Thin-wall pressure equilibrium and orthotropic biaxial strain comparison; stiffness inputs are conditional where Micro closure has not been verified.</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Nonzero-void closure has no matched published calibration in this study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Hoop stress</w:t>
            </w:r>
            <w:r>
              <w:rPr>
                <w:b w:val="0"/>
                <w:i w:val="0"/>
                <w:sz w:val="18"/>
              </w:rPr>
              <w:t xml:space="preserve"> </w:t>
            </w:r>
            <w:r>
              <w:rPr>
                <w:b w:val="0"/>
                <w:i w:val="0"/>
                <w:sz w:val="18"/>
              </w:rPr>
              <w:t xml:space="preserve"> (</w:t>
            </w:r>
            <w:r>
              <w:rPr>
                <w:b w:val="0"/>
                <w:i w:val="0"/>
                <w:sz w:val="18"/>
              </w:rPr>
              <w:t xml:space="preserve"> </w:t>
            </w:r>
            <w:r>
              <w:rPr>
                <w:b w:val="0"/>
                <w:i w:val="0"/>
                <w:sz w:val="18"/>
              </w:rPr>
              <w:t>MPa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56.4</w:t>
            </w:r>
          </w:p>
        </w:tc>
        <w:tc>
          <w:tcPr>
            <w:tcW w:type="dxa" w:w="1632"/>
            <w:vAlign w:val="center"/>
            <w:shd w:fill="FFFFFF"/>
          </w:tcPr>
          <w:p>
            <w:pPr>
              <w:spacing w:after="100" w:before="100"/>
            </w:pPr>
            <w:r>
              <w:rPr>
                <w:b w:val="0"/>
                <w:i w:val="0"/>
                <w:sz w:val="18"/>
              </w:rPr>
              <w:t>56.4</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MPa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Axial stress</w:t>
            </w:r>
            <w:r>
              <w:rPr>
                <w:b w:val="0"/>
                <w:i w:val="0"/>
                <w:sz w:val="18"/>
              </w:rPr>
              <w:t xml:space="preserve"> </w:t>
            </w:r>
            <w:r>
              <w:rPr>
                <w:b w:val="0"/>
                <w:i w:val="0"/>
                <w:sz w:val="18"/>
              </w:rPr>
              <w:t xml:space="preserve"> (</w:t>
            </w:r>
            <w:r>
              <w:rPr>
                <w:b w:val="0"/>
                <w:i w:val="0"/>
                <w:sz w:val="18"/>
              </w:rPr>
              <w:t xml:space="preserve"> </w:t>
            </w:r>
            <w:r>
              <w:rPr>
                <w:b w:val="0"/>
                <w:i w:val="0"/>
                <w:sz w:val="18"/>
              </w:rPr>
              <w:t>MPa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28.2</w:t>
            </w:r>
          </w:p>
        </w:tc>
        <w:tc>
          <w:tcPr>
            <w:tcW w:type="dxa" w:w="1632"/>
            <w:vAlign w:val="center"/>
            <w:shd w:fill="FFFFFF"/>
          </w:tcPr>
          <w:p>
            <w:pPr>
              <w:spacing w:after="100" w:before="100"/>
            </w:pPr>
            <w:r>
              <w:rPr>
                <w:b w:val="0"/>
                <w:i w:val="0"/>
                <w:sz w:val="18"/>
              </w:rPr>
              <w:t>28.2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MPa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Hoop strain including Poisson coupling</w:t>
            </w:r>
            <w:r>
              <w:rPr>
                <w:b w:val="0"/>
                <w:i w:val="0"/>
                <w:sz w:val="18"/>
              </w:rPr>
              <w:t xml:space="preserve"> </w:t>
            </w:r>
            <w:r>
              <w:rPr>
                <w:b w:val="0"/>
                <w:i w:val="0"/>
                <w:sz w:val="18"/>
              </w:rPr>
              <w:t xml:space="preserve"> (</w:t>
            </w:r>
            <w:r>
              <w:rPr>
                <w:b w:val="0"/>
                <w:i w:val="0"/>
                <w:sz w:val="18"/>
              </w:rPr>
              <w:t xml:space="preserve"> </w:t>
            </w:r>
            <w:r>
              <w:rPr>
                <w:b w:val="0"/>
                <w:i w:val="0"/>
                <w:sz w:val="18"/>
              </w:rPr>
              <w:t>µε</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755.3712</w:t>
            </w:r>
          </w:p>
        </w:tc>
        <w:tc>
          <w:tcPr>
            <w:tcW w:type="dxa" w:w="1632"/>
            <w:vAlign w:val="center"/>
            <w:shd w:fill="FFFFFF"/>
          </w:tcPr>
          <w:p>
            <w:pPr>
              <w:spacing w:after="100" w:before="100"/>
            </w:pPr>
            <w:r>
              <w:rPr>
                <w:b w:val="0"/>
                <w:i w:val="0"/>
                <w:sz w:val="18"/>
              </w:rPr>
              <w:t>755.3698</w:t>
            </w:r>
          </w:p>
        </w:tc>
        <w:tc>
          <w:tcPr>
            <w:tcW w:type="dxa" w:w="1632"/>
            <w:vAlign w:val="center"/>
            <w:shd w:fill="FFFFFF"/>
          </w:tcPr>
          <w:p>
            <w:pPr>
              <w:spacing w:after="100" w:before="100"/>
            </w:pPr>
            <w:r>
              <w:rPr>
                <w:b w:val="0"/>
                <w:i w:val="0"/>
                <w:sz w:val="18"/>
              </w:rPr>
              <w:t>0.000182403</w:t>
            </w:r>
          </w:p>
        </w:tc>
        <w:tc>
          <w:tcPr>
            <w:tcW w:type="dxa" w:w="1632"/>
            <w:vAlign w:val="center"/>
            <w:shd w:fill="FFFFFF"/>
          </w:tcPr>
          <w:p>
            <w:pPr>
              <w:spacing w:after="100" w:before="100"/>
            </w:pPr>
            <w:r>
              <w:rPr>
                <w:b w:val="0"/>
                <w:i w:val="0"/>
                <w:sz w:val="18"/>
              </w:rPr>
              <w:t>0.05</w:t>
            </w:r>
            <w:r>
              <w:rPr>
                <w:b w:val="0"/>
                <w:i w:val="0"/>
                <w:sz w:val="18"/>
              </w:rPr>
              <w:t xml:space="preserve"> </w:t>
            </w:r>
            <w:r>
              <w:rPr>
                <w:b w:val="0"/>
                <w:i w:val="0"/>
                <w:sz w:val="18"/>
              </w:rPr>
              <w:t xml:space="preserve">% + </w:t>
            </w:r>
            <w:r>
              <w:rPr>
                <w:b w:val="0"/>
                <w:i w:val="0"/>
                <w:sz w:val="18"/>
              </w:rPr>
              <w:t xml:space="preserve"> </w:t>
            </w:r>
            <w:r>
              <w:rPr>
                <w:b w:val="0"/>
                <w:i w:val="0"/>
                <w:sz w:val="18"/>
              </w:rPr>
              <w:t>0.01</w:t>
            </w:r>
            <w:r>
              <w:rPr>
                <w:b w:val="0"/>
                <w:i w:val="0"/>
                <w:sz w:val="18"/>
              </w:rPr>
              <w:t xml:space="preserve"> </w:t>
            </w:r>
            <w:r>
              <w:rPr>
                <w:b w:val="0"/>
                <w:i w:val="0"/>
                <w:sz w:val="18"/>
              </w:rPr>
              <w:t xml:space="preserve"> </w:t>
            </w:r>
            <w:r>
              <w:rPr>
                <w:b w:val="0"/>
                <w:i w:val="0"/>
                <w:sz w:val="18"/>
              </w:rPr>
              <w:t xml:space="preserve"> </w:t>
            </w:r>
            <w:r>
              <w:rPr>
                <w:b w:val="0"/>
                <w:i w:val="0"/>
                <w:sz w:val="18"/>
              </w:rPr>
              <w:t>µε</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Axial strain including Poisson coupling</w:t>
            </w:r>
            <w:r>
              <w:rPr>
                <w:b w:val="0"/>
                <w:i w:val="0"/>
                <w:sz w:val="18"/>
              </w:rPr>
              <w:t xml:space="preserve"> </w:t>
            </w:r>
            <w:r>
              <w:rPr>
                <w:b w:val="0"/>
                <w:i w:val="0"/>
                <w:sz w:val="18"/>
              </w:rPr>
              <w:t xml:space="preserve"> (</w:t>
            </w:r>
            <w:r>
              <w:rPr>
                <w:b w:val="0"/>
                <w:i w:val="0"/>
                <w:sz w:val="18"/>
              </w:rPr>
              <w:t xml:space="preserve"> </w:t>
            </w:r>
            <w:r>
              <w:rPr>
                <w:b w:val="0"/>
                <w:i w:val="0"/>
                <w:sz w:val="18"/>
              </w:rPr>
              <w:t>µε</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246.3161</w:t>
            </w:r>
          </w:p>
        </w:tc>
        <w:tc>
          <w:tcPr>
            <w:tcW w:type="dxa" w:w="1632"/>
            <w:vAlign w:val="center"/>
            <w:shd w:fill="FFFFFF"/>
          </w:tcPr>
          <w:p>
            <w:pPr>
              <w:spacing w:after="100" w:before="100"/>
            </w:pPr>
            <w:r>
              <w:rPr>
                <w:b w:val="0"/>
                <w:i w:val="0"/>
                <w:sz w:val="18"/>
              </w:rPr>
              <w:t>246.3132</w:t>
            </w:r>
          </w:p>
        </w:tc>
        <w:tc>
          <w:tcPr>
            <w:tcW w:type="dxa" w:w="1632"/>
            <w:vAlign w:val="center"/>
            <w:shd w:fill="FFFFFF"/>
          </w:tcPr>
          <w:p>
            <w:pPr>
              <w:spacing w:after="100" w:before="100"/>
            </w:pPr>
            <w:r>
              <w:rPr>
                <w:b w:val="0"/>
                <w:i w:val="0"/>
                <w:sz w:val="18"/>
              </w:rPr>
              <w:t>0.00114902</w:t>
            </w:r>
          </w:p>
        </w:tc>
        <w:tc>
          <w:tcPr>
            <w:tcW w:type="dxa" w:w="1632"/>
            <w:vAlign w:val="center"/>
            <w:shd w:fill="FFFFFF"/>
          </w:tcPr>
          <w:p>
            <w:pPr>
              <w:spacing w:after="100" w:before="100"/>
            </w:pPr>
            <w:r>
              <w:rPr>
                <w:b w:val="0"/>
                <w:i w:val="0"/>
                <w:sz w:val="18"/>
              </w:rPr>
              <w:t>0.05</w:t>
            </w:r>
            <w:r>
              <w:rPr>
                <w:b w:val="0"/>
                <w:i w:val="0"/>
                <w:sz w:val="18"/>
              </w:rPr>
              <w:t xml:space="preserve"> </w:t>
            </w:r>
            <w:r>
              <w:rPr>
                <w:b w:val="0"/>
                <w:i w:val="0"/>
                <w:sz w:val="18"/>
              </w:rPr>
              <w:t xml:space="preserve">% + </w:t>
            </w:r>
            <w:r>
              <w:rPr>
                <w:b w:val="0"/>
                <w:i w:val="0"/>
                <w:sz w:val="18"/>
              </w:rPr>
              <w:t xml:space="preserve"> </w:t>
            </w:r>
            <w:r>
              <w:rPr>
                <w:b w:val="0"/>
                <w:i w:val="0"/>
                <w:sz w:val="18"/>
              </w:rPr>
              <w:t>0.01</w:t>
            </w:r>
            <w:r>
              <w:rPr>
                <w:b w:val="0"/>
                <w:i w:val="0"/>
                <w:sz w:val="18"/>
              </w:rPr>
              <w:t xml:space="preserve"> </w:t>
            </w:r>
            <w:r>
              <w:rPr>
                <w:b w:val="0"/>
                <w:i w:val="0"/>
                <w:sz w:val="18"/>
              </w:rPr>
              <w:t xml:space="preserve"> </w:t>
            </w:r>
            <w:r>
              <w:rPr>
                <w:b w:val="0"/>
                <w:i w:val="0"/>
                <w:sz w:val="18"/>
              </w:rPr>
              <w:t xml:space="preserve"> </w:t>
            </w:r>
            <w:r>
              <w:rPr>
                <w:b w:val="0"/>
                <w:i w:val="0"/>
                <w:sz w:val="18"/>
              </w:rPr>
              <w:t>µε</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83">
        <w:r>
          <w:rPr>
            <w:color w:val="176EA4"/>
          </w:rPr>
          <w:t>MIT / David Roylance — Pressure Vessels </w:t>
        </w:r>
      </w:hyperlink>
      <w:r>
        <w:t xml:space="preserve"> </w:t>
      </w:r>
      <w:r>
        <w:rPr>
          <w:b w:val="0"/>
          <w:i w:val="0"/>
        </w:rPr>
        <w:t>Equations 2–3, printed page 3; orthotropic strain compliance from laminated plates reference</w:t>
      </w:r>
      <w:r>
        <w:rPr>
          <w:b w:val="0"/>
          <w:i w:val="0"/>
        </w:rPr>
        <w:t xml:space="preserve"> </w:t>
      </w:r>
      <w:r>
        <w:rPr>
          <w:b w:val="0"/>
          <w:i w:val="0"/>
        </w:rPr>
        <w:t xml:space="preserve">. </w:t>
      </w:r>
      <w:r>
        <w:rPr>
          <w:b w:val="0"/>
          <w:i w:val="0"/>
        </w:rPr>
        <w:t xml:space="preserve"> </w:t>
      </w:r>
      <w:r>
        <w:rPr>
          <w:b w:val="0"/>
          <w:i w:val="0"/>
        </w:rPr>
        <w:t>Thin-wall, closed-end pristine cylinder. No slit, fracture or failure-pressure validation.</w:t>
      </w:r>
      <w:r>
        <w:t xml:space="preserve"> </w:t>
      </w: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Pressure reference inputs</w:t>
      </w:r>
    </w:p>
    <w:p>
      <w:r>
        <w:t>Exact numerical inputs are retained in the linked validation evidence.</w:t>
      </w:r>
    </w:p>
    <w:p>
      <w:pPr>
        <w:pStyle w:val="ListBullet"/>
      </w:pPr>
      <w:r>
        <w:rPr>
          <w:b w:val="0"/>
          <w:i w:val="0"/>
        </w:rPr>
        <w:t>Thin-wall membrane theory: no through-wall radial stress profile or local end effects.</w:t>
      </w:r>
    </w:p>
    <w:p>
      <w:pPr/>
      <w:hyperlink r:id="rId109">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11 · Lap joint · two adherends and adhesive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Perfectly bonded linear-elastic interfaces. Mesh-sensitive edge peaks are not joint strength, debonding or damage predictions.</w:t>
      </w:r>
    </w:p>
    <w:p>
      <w:pPr/>
      <w:hyperlink r:id="rId110">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12 · Sandwich bend · skins, core and bond screening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Illustrative strengths only. Local peel and mixed-mode bond growth are not assessed. Completion is not an overall sandwich pass.</w:t>
      </w:r>
    </w:p>
    <w:p>
      <w:pPr/>
      <w:hyperlink r:id="rId111">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13 · Thermal cycle · surface/core lag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One-dimensional through-thickness transport; lateral heat loss and oven airflow are not resolved. Inspect linked cure settings before interpreting reaction heating.</w:t>
      </w:r>
    </w:p>
    <w:p>
      <w:pPr/>
      <w:hyperlink r:id="rId112">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14 · Moisture conditioning · diffusion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One-dimensional Fickian transport with the selected constitutive inputs, not a prediction of chemical degradation.</w:t>
      </w:r>
    </w:p>
    <w:p>
      <w:pPr/>
      <w:hyperlink r:id="rId113">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15 · Pultrusion · multi-zone die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Hypothetical teaching process using existing T700/epoxy laminate properties and illustrative cure parameters, not a calibrated pultrusion recipe. Constant-speed moving section; no axial conduction, impregnation, leakage, die thermal mass or pulling-force prediction. Use Thermal Run, not batch-cycle optimization.</w:t>
      </w:r>
    </w:p>
    <w:p>
      <w:pPr/>
      <w:hyperlink r:id="rId114">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16 · UV cure · penetration and exotherm</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Hypothetical UV-compatible teaching composite: inherited T700/epoxy elastic and transport values do not establish commercial resin UV compatibility or carbon-composite transparency. Effective optics, kinetics and enthalpy require calibration. No oxygen transport, shadowing, multiple scattering or radical dark cure. Use Run, not UV process optimization.</w:t>
      </w:r>
    </w:p>
    <w:p>
      <w:pPr/>
      <w:hyperlink r:id="rId115">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17 · Moisture expansion + structural load</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Use the solver’s reported coupling state and limits. Do not assume this constitutes a general 3D coupled finite-element model or a calibrated cure-residual-stress prediction.</w:t>
      </w:r>
    </w:p>
    <w:p>
      <w:pPr/>
      <w:hyperlink r:id="rId116">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18 · Mixed Micro recipes · cure + structural response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Use the solver’s reported coupling state and limits. Do not assume this constitutes a general 3D coupled finite-element model or a calibrated cure-residual-stress prediction.</w:t>
      </w:r>
    </w:p>
    <w:p>
      <w:pPr/>
      <w:hyperlink r:id="rId117">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19 · Cure + thermal + moisture + structural</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Use the solver’s reported coupling state and limits. Do not assume this constitutes a general 3D coupled finite-element model or a calibrated cure-residual-stress prediction.</w:t>
      </w:r>
    </w:p>
    <w:p>
      <w:pPr/>
      <w:hyperlink r:id="rId118">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20 · Coupled ply damage + delamination growth</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Mechanical-only x-z reference-state demonstration coupling cohesive interfaces and in-plane ply damage. No thermal/moisture residual loading, out-of-plane ply failure or full 3D validation. Assumed teaching strengths and fracture energies; never a design certification.</w:t>
      </w:r>
    </w:p>
    <w:p>
      <w:pPr/>
      <w:hyperlink r:id="rId119">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T700S / 180C Epoxy UD · stored-ply elasticity</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134</w:t>
            </w:r>
          </w:p>
        </w:tc>
        <w:tc>
          <w:tcPr>
            <w:tcW w:type="dxa" w:w="1632"/>
            <w:vAlign w:val="center"/>
            <w:shd w:fill="FFFFFF"/>
          </w:tcPr>
          <w:p>
            <w:pPr>
              <w:spacing w:after="100" w:before="100"/>
            </w:pPr>
            <w:r>
              <w:rPr>
                <w:b w:val="0"/>
                <w:i w:val="0"/>
                <w:sz w:val="18"/>
              </w:rPr>
              <w:t>134</w:t>
            </w:r>
          </w:p>
        </w:tc>
        <w:tc>
          <w:tcPr>
            <w:tcW w:type="dxa" w:w="1632"/>
            <w:vAlign w:val="center"/>
            <w:shd w:fill="FFFFFF"/>
          </w:tcPr>
          <w:p>
            <w:pPr>
              <w:spacing w:after="100" w:before="100"/>
            </w:pPr>
            <w:r>
              <w:rPr>
                <w:b w:val="0"/>
                <w:i w:val="0"/>
                <w:sz w:val="18"/>
              </w:rPr>
              <w:t>-2.12102e-14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8.8</w:t>
            </w:r>
          </w:p>
        </w:tc>
        <w:tc>
          <w:tcPr>
            <w:tcW w:type="dxa" w:w="1632"/>
            <w:vAlign w:val="center"/>
            <w:shd w:fill="FFFFFF"/>
          </w:tcPr>
          <w:p>
            <w:pPr>
              <w:spacing w:after="100" w:before="100"/>
            </w:pPr>
            <w:r>
              <w:rPr>
                <w:b w:val="0"/>
                <w:i w:val="0"/>
                <w:sz w:val="18"/>
              </w:rPr>
              <w:t>8.8</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4.8</w:t>
            </w:r>
          </w:p>
        </w:tc>
        <w:tc>
          <w:tcPr>
            <w:tcW w:type="dxa" w:w="1632"/>
            <w:vAlign w:val="center"/>
            <w:shd w:fill="FFFFFF"/>
          </w:tcPr>
          <w:p>
            <w:pPr>
              <w:spacing w:after="100" w:before="100"/>
            </w:pPr>
            <w:r>
              <w:rPr>
                <w:b w:val="0"/>
                <w:i w:val="0"/>
                <w:sz w:val="18"/>
              </w:rPr>
              <w:t>4.8</w:t>
            </w:r>
          </w:p>
        </w:tc>
        <w:tc>
          <w:tcPr>
            <w:tcW w:type="dxa" w:w="1632"/>
            <w:vAlign w:val="center"/>
            <w:shd w:fill="FFFFFF"/>
          </w:tcPr>
          <w:p>
            <w:pPr>
              <w:spacing w:after="100" w:before="100"/>
            </w:pPr>
            <w:r>
              <w:rPr>
                <w:b w:val="0"/>
                <w:i w:val="0"/>
                <w:sz w:val="18"/>
              </w:rPr>
              <w:t>-1.85037e-14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w:t>
            </w:r>
          </w:p>
        </w:tc>
        <w:tc>
          <w:tcPr>
            <w:tcW w:type="dxa" w:w="1632"/>
            <w:vAlign w:val="center"/>
            <w:shd w:fill="FFFFFF"/>
          </w:tcPr>
          <w:p>
            <w:pPr>
              <w:spacing w:after="100" w:before="100"/>
            </w:pPr>
            <w:r>
              <w:rPr>
                <w:b w:val="0"/>
                <w:i w:val="0"/>
                <w:sz w:val="18"/>
              </w:rPr>
              <w:t>0.31</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20">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IM7 / Toughened Epoxy UD · stored-ply elasticity</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165</w:t>
            </w:r>
          </w:p>
        </w:tc>
        <w:tc>
          <w:tcPr>
            <w:tcW w:type="dxa" w:w="1632"/>
            <w:vAlign w:val="center"/>
            <w:shd w:fill="FFFFFF"/>
          </w:tcPr>
          <w:p>
            <w:pPr>
              <w:spacing w:after="100" w:before="100"/>
            </w:pPr>
            <w:r>
              <w:rPr>
                <w:b w:val="0"/>
                <w:i w:val="0"/>
                <w:sz w:val="18"/>
              </w:rPr>
              <w:t>165</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9</w:t>
            </w:r>
          </w:p>
        </w:tc>
        <w:tc>
          <w:tcPr>
            <w:tcW w:type="dxa" w:w="1632"/>
            <w:vAlign w:val="center"/>
            <w:shd w:fill="FFFFFF"/>
          </w:tcPr>
          <w:p>
            <w:pPr>
              <w:spacing w:after="100" w:before="100"/>
            </w:pPr>
            <w:r>
              <w:rPr>
                <w:b w:val="0"/>
                <w:i w:val="0"/>
                <w:sz w:val="18"/>
              </w:rPr>
              <w:t>9</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5.2</w:t>
            </w:r>
          </w:p>
        </w:tc>
        <w:tc>
          <w:tcPr>
            <w:tcW w:type="dxa" w:w="1632"/>
            <w:vAlign w:val="center"/>
            <w:shd w:fill="FFFFFF"/>
          </w:tcPr>
          <w:p>
            <w:pPr>
              <w:spacing w:after="100" w:before="100"/>
            </w:pPr>
            <w:r>
              <w:rPr>
                <w:b w:val="0"/>
                <w:i w:val="0"/>
                <w:sz w:val="18"/>
              </w:rPr>
              <w:t>5.2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0.32</w:t>
            </w:r>
          </w:p>
        </w:tc>
        <w:tc>
          <w:tcPr>
            <w:tcW w:type="dxa" w:w="1632"/>
            <w:vAlign w:val="center"/>
            <w:shd w:fill="FFFFFF"/>
          </w:tcPr>
          <w:p>
            <w:pPr>
              <w:spacing w:after="100" w:before="100"/>
            </w:pPr>
            <w:r>
              <w:rPr>
                <w:b w:val="0"/>
                <w:i w:val="0"/>
                <w:sz w:val="18"/>
              </w:rPr>
              <w:t>0.32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21">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T800S / BMI UD · stored-ply elasticity</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172</w:t>
            </w:r>
          </w:p>
        </w:tc>
        <w:tc>
          <w:tcPr>
            <w:tcW w:type="dxa" w:w="1632"/>
            <w:vAlign w:val="center"/>
            <w:shd w:fill="FFFFFF"/>
          </w:tcPr>
          <w:p>
            <w:pPr>
              <w:spacing w:after="100" w:before="100"/>
            </w:pPr>
            <w:r>
              <w:rPr>
                <w:b w:val="0"/>
                <w:i w:val="0"/>
                <w:sz w:val="18"/>
              </w:rPr>
              <w:t>172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9.8</w:t>
            </w:r>
          </w:p>
        </w:tc>
        <w:tc>
          <w:tcPr>
            <w:tcW w:type="dxa" w:w="1632"/>
            <w:vAlign w:val="center"/>
            <w:shd w:fill="FFFFFF"/>
          </w:tcPr>
          <w:p>
            <w:pPr>
              <w:spacing w:after="100" w:before="100"/>
            </w:pPr>
            <w:r>
              <w:rPr>
                <w:b w:val="0"/>
                <w:i w:val="0"/>
                <w:sz w:val="18"/>
              </w:rPr>
              <w:t>9.8</w:t>
            </w:r>
          </w:p>
        </w:tc>
        <w:tc>
          <w:tcPr>
            <w:tcW w:type="dxa" w:w="1632"/>
            <w:vAlign w:val="center"/>
            <w:shd w:fill="FFFFFF"/>
          </w:tcPr>
          <w:p>
            <w:pPr>
              <w:spacing w:after="100" w:before="100"/>
            </w:pPr>
            <w:r>
              <w:rPr>
                <w:b w:val="0"/>
                <w:i w:val="0"/>
                <w:sz w:val="18"/>
              </w:rPr>
              <w:t>1.81261e-14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5.6</w:t>
            </w:r>
          </w:p>
        </w:tc>
        <w:tc>
          <w:tcPr>
            <w:tcW w:type="dxa" w:w="1632"/>
            <w:vAlign w:val="center"/>
            <w:shd w:fill="FFFFFF"/>
          </w:tcPr>
          <w:p>
            <w:pPr>
              <w:spacing w:after="100" w:before="100"/>
            </w:pPr>
            <w:r>
              <w:rPr>
                <w:b w:val="0"/>
                <w:i w:val="0"/>
                <w:sz w:val="18"/>
              </w:rPr>
              <w:t>5.6</w:t>
            </w:r>
          </w:p>
        </w:tc>
        <w:tc>
          <w:tcPr>
            <w:tcW w:type="dxa" w:w="1632"/>
            <w:vAlign w:val="center"/>
            <w:shd w:fill="FFFFFF"/>
          </w:tcPr>
          <w:p>
            <w:pPr>
              <w:spacing w:after="100" w:before="100"/>
            </w:pPr>
            <w:r>
              <w:rPr>
                <w:b w:val="0"/>
                <w:i w:val="0"/>
                <w:sz w:val="18"/>
              </w:rPr>
              <w:t>-1.58603e-14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w:t>
            </w:r>
          </w:p>
        </w:tc>
        <w:tc>
          <w:tcPr>
            <w:tcW w:type="dxa" w:w="1632"/>
            <w:vAlign w:val="center"/>
            <w:shd w:fill="FFFFFF"/>
          </w:tcPr>
          <w:p>
            <w:pPr>
              <w:spacing w:after="100" w:before="100"/>
            </w:pPr>
            <w:r>
              <w:rPr>
                <w:b w:val="0"/>
                <w:i w:val="0"/>
                <w:sz w:val="18"/>
              </w:rPr>
              <w:t>0.31</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22">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AS4 / PEEK UD · stored-ply elasticity</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142</w:t>
            </w:r>
          </w:p>
        </w:tc>
        <w:tc>
          <w:tcPr>
            <w:tcW w:type="dxa" w:w="1632"/>
            <w:vAlign w:val="center"/>
            <w:shd w:fill="FFFFFF"/>
          </w:tcPr>
          <w:p>
            <w:pPr>
              <w:spacing w:after="100" w:before="100"/>
            </w:pPr>
            <w:r>
              <w:rPr>
                <w:b w:val="0"/>
                <w:i w:val="0"/>
                <w:sz w:val="18"/>
              </w:rPr>
              <w:t>142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10</w:t>
            </w:r>
          </w:p>
        </w:tc>
        <w:tc>
          <w:tcPr>
            <w:tcW w:type="dxa" w:w="1632"/>
            <w:vAlign w:val="center"/>
            <w:shd w:fill="FFFFFF"/>
          </w:tcPr>
          <w:p>
            <w:pPr>
              <w:spacing w:after="100" w:before="100"/>
            </w:pPr>
            <w:r>
              <w:rPr>
                <w:b w:val="0"/>
                <w:i w:val="0"/>
                <w:sz w:val="18"/>
              </w:rPr>
              <w:t>10</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5.5</w:t>
            </w:r>
          </w:p>
        </w:tc>
        <w:tc>
          <w:tcPr>
            <w:tcW w:type="dxa" w:w="1632"/>
            <w:vAlign w:val="center"/>
            <w:shd w:fill="FFFFFF"/>
          </w:tcPr>
          <w:p>
            <w:pPr>
              <w:spacing w:after="100" w:before="100"/>
            </w:pPr>
            <w:r>
              <w:rPr>
                <w:b w:val="0"/>
                <w:i w:val="0"/>
                <w:sz w:val="18"/>
              </w:rPr>
              <w:t>5.5</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w:t>
            </w:r>
          </w:p>
        </w:tc>
        <w:tc>
          <w:tcPr>
            <w:tcW w:type="dxa" w:w="1632"/>
            <w:vAlign w:val="center"/>
            <w:shd w:fill="FFFFFF"/>
          </w:tcPr>
          <w:p>
            <w:pPr>
              <w:spacing w:after="100" w:before="100"/>
            </w:pPr>
            <w:r>
              <w:rPr>
                <w:b w:val="0"/>
                <w:i w:val="0"/>
                <w:sz w:val="18"/>
              </w:rPr>
              <w:t>0.3</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23">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T700/Epoxy Quasi-Isotropic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51.52598</w:t>
            </w:r>
          </w:p>
        </w:tc>
        <w:tc>
          <w:tcPr>
            <w:tcW w:type="dxa" w:w="1632"/>
            <w:vAlign w:val="center"/>
            <w:shd w:fill="FFFFFF"/>
          </w:tcPr>
          <w:p>
            <w:pPr>
              <w:spacing w:after="100" w:before="100"/>
            </w:pPr>
            <w:r>
              <w:rPr>
                <w:b w:val="0"/>
                <w:i w:val="0"/>
                <w:sz w:val="18"/>
              </w:rPr>
              <w:t>51.52598</w:t>
            </w:r>
          </w:p>
        </w:tc>
        <w:tc>
          <w:tcPr>
            <w:tcW w:type="dxa" w:w="1632"/>
            <w:vAlign w:val="center"/>
            <w:shd w:fill="FFFFFF"/>
          </w:tcPr>
          <w:p>
            <w:pPr>
              <w:spacing w:after="100" w:before="100"/>
            </w:pPr>
            <w:r>
              <w:rPr>
                <w:b w:val="0"/>
                <w:i w:val="0"/>
                <w:sz w:val="18"/>
              </w:rPr>
              <w:t>6.49425e-06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51.52598</w:t>
            </w:r>
          </w:p>
        </w:tc>
        <w:tc>
          <w:tcPr>
            <w:tcW w:type="dxa" w:w="1632"/>
            <w:vAlign w:val="center"/>
            <w:shd w:fill="FFFFFF"/>
          </w:tcPr>
          <w:p>
            <w:pPr>
              <w:spacing w:after="100" w:before="100"/>
            </w:pPr>
            <w:r>
              <w:rPr>
                <w:b w:val="0"/>
                <w:i w:val="0"/>
                <w:sz w:val="18"/>
              </w:rPr>
              <w:t>51.52598</w:t>
            </w:r>
          </w:p>
        </w:tc>
        <w:tc>
          <w:tcPr>
            <w:tcW w:type="dxa" w:w="1632"/>
            <w:vAlign w:val="center"/>
            <w:shd w:fill="FFFFFF"/>
          </w:tcPr>
          <w:p>
            <w:pPr>
              <w:spacing w:after="100" w:before="100"/>
            </w:pPr>
            <w:r>
              <w:rPr>
                <w:b w:val="0"/>
                <w:i w:val="0"/>
                <w:sz w:val="18"/>
              </w:rPr>
              <w:t>6.49425e-06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19.67704</w:t>
            </w:r>
          </w:p>
        </w:tc>
        <w:tc>
          <w:tcPr>
            <w:tcW w:type="dxa" w:w="1632"/>
            <w:vAlign w:val="center"/>
            <w:shd w:fill="FFFFFF"/>
          </w:tcPr>
          <w:p>
            <w:pPr>
              <w:spacing w:after="100" w:before="100"/>
            </w:pPr>
            <w:r>
              <w:rPr>
                <w:b w:val="0"/>
                <w:i w:val="0"/>
                <w:sz w:val="18"/>
              </w:rPr>
              <w:t>19.67704</w:t>
            </w:r>
          </w:p>
        </w:tc>
        <w:tc>
          <w:tcPr>
            <w:tcW w:type="dxa" w:w="1632"/>
            <w:vAlign w:val="center"/>
            <w:shd w:fill="FFFFFF"/>
          </w:tcPr>
          <w:p>
            <w:pPr>
              <w:spacing w:after="100" w:before="100"/>
            </w:pPr>
            <w:r>
              <w:rPr>
                <w:b w:val="0"/>
                <w:i w:val="0"/>
                <w:sz w:val="18"/>
              </w:rPr>
              <w:t>1.95724e-05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0.30929</w:t>
            </w:r>
          </w:p>
        </w:tc>
        <w:tc>
          <w:tcPr>
            <w:tcW w:type="dxa" w:w="1632"/>
            <w:vAlign w:val="center"/>
            <w:shd w:fill="FFFFFF"/>
          </w:tcPr>
          <w:p>
            <w:pPr>
              <w:spacing w:after="100" w:before="100"/>
            </w:pPr>
            <w:r>
              <w:rPr>
                <w:b w:val="0"/>
                <w:i w:val="0"/>
                <w:sz w:val="18"/>
              </w:rPr>
              <w:t>0.3092921</w:t>
            </w:r>
          </w:p>
        </w:tc>
        <w:tc>
          <w:tcPr>
            <w:tcW w:type="dxa" w:w="1632"/>
            <w:vAlign w:val="center"/>
            <w:shd w:fill="FFFFFF"/>
          </w:tcPr>
          <w:p>
            <w:pPr>
              <w:spacing w:after="100" w:before="100"/>
            </w:pPr>
            <w:r>
              <w:rPr>
                <w:b w:val="0"/>
                <w:i w:val="0"/>
                <w:sz w:val="18"/>
              </w:rPr>
              <w:t>-0.000684654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24">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IM7/Toughened Epoxy Bending-Optimized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82.81629</w:t>
            </w:r>
          </w:p>
        </w:tc>
        <w:tc>
          <w:tcPr>
            <w:tcW w:type="dxa" w:w="1632"/>
            <w:vAlign w:val="center"/>
            <w:shd w:fill="FFFFFF"/>
          </w:tcPr>
          <w:p>
            <w:pPr>
              <w:spacing w:after="100" w:before="100"/>
            </w:pPr>
            <w:r>
              <w:rPr>
                <w:b w:val="0"/>
                <w:i w:val="0"/>
                <w:sz w:val="18"/>
              </w:rPr>
              <w:t>82.81629</w:t>
            </w:r>
          </w:p>
        </w:tc>
        <w:tc>
          <w:tcPr>
            <w:tcW w:type="dxa" w:w="1632"/>
            <w:vAlign w:val="center"/>
            <w:shd w:fill="FFFFFF"/>
          </w:tcPr>
          <w:p>
            <w:pPr>
              <w:spacing w:after="100" w:before="100"/>
            </w:pPr>
            <w:r>
              <w:rPr>
                <w:b w:val="0"/>
                <w:i w:val="0"/>
                <w:sz w:val="18"/>
              </w:rPr>
              <w:t>7.06366e-07</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53.40213</w:t>
            </w:r>
          </w:p>
        </w:tc>
        <w:tc>
          <w:tcPr>
            <w:tcW w:type="dxa" w:w="1632"/>
            <w:vAlign w:val="center"/>
            <w:shd w:fill="FFFFFF"/>
          </w:tcPr>
          <w:p>
            <w:pPr>
              <w:spacing w:after="100" w:before="100"/>
            </w:pPr>
            <w:r>
              <w:rPr>
                <w:b w:val="0"/>
                <w:i w:val="0"/>
                <w:sz w:val="18"/>
              </w:rPr>
              <w:t>53.40213</w:t>
            </w:r>
          </w:p>
        </w:tc>
        <w:tc>
          <w:tcPr>
            <w:tcW w:type="dxa" w:w="1632"/>
            <w:vAlign w:val="center"/>
            <w:shd w:fill="FFFFFF"/>
          </w:tcPr>
          <w:p>
            <w:pPr>
              <w:spacing w:after="100" w:before="100"/>
            </w:pPr>
            <w:r>
              <w:rPr>
                <w:b w:val="0"/>
                <w:i w:val="0"/>
                <w:sz w:val="18"/>
              </w:rPr>
              <w:t>-9.24308e-06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20.0385</w:t>
            </w:r>
          </w:p>
        </w:tc>
        <w:tc>
          <w:tcPr>
            <w:tcW w:type="dxa" w:w="1632"/>
            <w:vAlign w:val="center"/>
            <w:shd w:fill="FFFFFF"/>
          </w:tcPr>
          <w:p>
            <w:pPr>
              <w:spacing w:after="100" w:before="100"/>
            </w:pPr>
            <w:r>
              <w:rPr>
                <w:b w:val="0"/>
                <w:i w:val="0"/>
                <w:sz w:val="18"/>
              </w:rPr>
              <w:t>20.0385</w:t>
            </w:r>
          </w:p>
        </w:tc>
        <w:tc>
          <w:tcPr>
            <w:tcW w:type="dxa" w:w="1632"/>
            <w:vAlign w:val="center"/>
            <w:shd w:fill="FFFFFF"/>
          </w:tcPr>
          <w:p>
            <w:pPr>
              <w:spacing w:after="100" w:before="100"/>
            </w:pPr>
            <w:r>
              <w:rPr>
                <w:b w:val="0"/>
                <w:i w:val="0"/>
                <w:sz w:val="18"/>
              </w:rPr>
              <w:t>1.24822e-05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0.31134</w:t>
            </w:r>
          </w:p>
        </w:tc>
        <w:tc>
          <w:tcPr>
            <w:tcW w:type="dxa" w:w="1632"/>
            <w:vAlign w:val="center"/>
            <w:shd w:fill="FFFFFF"/>
          </w:tcPr>
          <w:p>
            <w:pPr>
              <w:spacing w:after="100" w:before="100"/>
            </w:pPr>
            <w:r>
              <w:rPr>
                <w:b w:val="0"/>
                <w:i w:val="0"/>
                <w:sz w:val="18"/>
              </w:rPr>
              <w:t>0.3113392</w:t>
            </w:r>
          </w:p>
        </w:tc>
        <w:tc>
          <w:tcPr>
            <w:tcW w:type="dxa" w:w="1632"/>
            <w:vAlign w:val="center"/>
            <w:shd w:fill="FFFFFF"/>
          </w:tcPr>
          <w:p>
            <w:pPr>
              <w:spacing w:after="100" w:before="100"/>
            </w:pPr>
            <w:r>
              <w:rPr>
                <w:b w:val="0"/>
                <w:i w:val="0"/>
                <w:sz w:val="18"/>
              </w:rPr>
              <w:t>0.000250775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25">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T800/BMI Balanced Cylinder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65.19266</w:t>
            </w:r>
          </w:p>
        </w:tc>
        <w:tc>
          <w:tcPr>
            <w:tcW w:type="dxa" w:w="1632"/>
            <w:vAlign w:val="center"/>
            <w:shd w:fill="FFFFFF"/>
          </w:tcPr>
          <w:p>
            <w:pPr>
              <w:spacing w:after="100" w:before="100"/>
            </w:pPr>
            <w:r>
              <w:rPr>
                <w:b w:val="0"/>
                <w:i w:val="0"/>
                <w:sz w:val="18"/>
              </w:rPr>
              <w:t>65.19266</w:t>
            </w:r>
          </w:p>
        </w:tc>
        <w:tc>
          <w:tcPr>
            <w:tcW w:type="dxa" w:w="1632"/>
            <w:vAlign w:val="center"/>
            <w:shd w:fill="FFFFFF"/>
          </w:tcPr>
          <w:p>
            <w:pPr>
              <w:spacing w:after="100" w:before="100"/>
            </w:pPr>
            <w:r>
              <w:rPr>
                <w:b w:val="0"/>
                <w:i w:val="0"/>
                <w:sz w:val="18"/>
              </w:rPr>
              <w:t>-4.25901e-06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65.19266</w:t>
            </w:r>
          </w:p>
        </w:tc>
        <w:tc>
          <w:tcPr>
            <w:tcW w:type="dxa" w:w="1632"/>
            <w:vAlign w:val="center"/>
            <w:shd w:fill="FFFFFF"/>
          </w:tcPr>
          <w:p>
            <w:pPr>
              <w:spacing w:after="100" w:before="100"/>
            </w:pPr>
            <w:r>
              <w:rPr>
                <w:b w:val="0"/>
                <w:i w:val="0"/>
                <w:sz w:val="18"/>
              </w:rPr>
              <w:t>65.19266</w:t>
            </w:r>
          </w:p>
        </w:tc>
        <w:tc>
          <w:tcPr>
            <w:tcW w:type="dxa" w:w="1632"/>
            <w:vAlign w:val="center"/>
            <w:shd w:fill="FFFFFF"/>
          </w:tcPr>
          <w:p>
            <w:pPr>
              <w:spacing w:after="100" w:before="100"/>
            </w:pPr>
            <w:r>
              <w:rPr>
                <w:b w:val="0"/>
                <w:i w:val="0"/>
                <w:sz w:val="18"/>
              </w:rPr>
              <w:t>-4.25901e-06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24.88643</w:t>
            </w:r>
          </w:p>
        </w:tc>
        <w:tc>
          <w:tcPr>
            <w:tcW w:type="dxa" w:w="1632"/>
            <w:vAlign w:val="center"/>
            <w:shd w:fill="FFFFFF"/>
          </w:tcPr>
          <w:p>
            <w:pPr>
              <w:spacing w:after="100" w:before="100"/>
            </w:pPr>
            <w:r>
              <w:rPr>
                <w:b w:val="0"/>
                <w:i w:val="0"/>
                <w:sz w:val="18"/>
              </w:rPr>
              <w:t>24.88643</w:t>
            </w:r>
          </w:p>
        </w:tc>
        <w:tc>
          <w:tcPr>
            <w:tcW w:type="dxa" w:w="1632"/>
            <w:vAlign w:val="center"/>
            <w:shd w:fill="FFFFFF"/>
          </w:tcPr>
          <w:p>
            <w:pPr>
              <w:spacing w:after="100" w:before="100"/>
            </w:pPr>
            <w:r>
              <w:rPr>
                <w:b w:val="0"/>
                <w:i w:val="0"/>
                <w:sz w:val="18"/>
              </w:rPr>
              <w:t>-1.40484e-05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0.3098</w:t>
            </w:r>
          </w:p>
        </w:tc>
        <w:tc>
          <w:tcPr>
            <w:tcW w:type="dxa" w:w="1632"/>
            <w:vAlign w:val="center"/>
            <w:shd w:fill="FFFFFF"/>
          </w:tcPr>
          <w:p>
            <w:pPr>
              <w:spacing w:after="100" w:before="100"/>
            </w:pPr>
            <w:r>
              <w:rPr>
                <w:b w:val="0"/>
                <w:i w:val="0"/>
                <w:sz w:val="18"/>
              </w:rPr>
              <w:t>0.3098032</w:t>
            </w:r>
          </w:p>
        </w:tc>
        <w:tc>
          <w:tcPr>
            <w:tcW w:type="dxa" w:w="1632"/>
            <w:vAlign w:val="center"/>
            <w:shd w:fill="FFFFFF"/>
          </w:tcPr>
          <w:p>
            <w:pPr>
              <w:spacing w:after="100" w:before="100"/>
            </w:pPr>
            <w:r>
              <w:rPr>
                <w:b w:val="0"/>
                <w:i w:val="0"/>
                <w:sz w:val="18"/>
              </w:rPr>
              <w:t>-0.00104794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26">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AS4/PEEK Quasi-Isotropic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55.16287</w:t>
            </w:r>
          </w:p>
        </w:tc>
        <w:tc>
          <w:tcPr>
            <w:tcW w:type="dxa" w:w="1632"/>
            <w:vAlign w:val="center"/>
            <w:shd w:fill="FFFFFF"/>
          </w:tcPr>
          <w:p>
            <w:pPr>
              <w:spacing w:after="100" w:before="100"/>
            </w:pPr>
            <w:r>
              <w:rPr>
                <w:b w:val="0"/>
                <w:i w:val="0"/>
                <w:sz w:val="18"/>
              </w:rPr>
              <w:t>55.16287</w:t>
            </w:r>
          </w:p>
        </w:tc>
        <w:tc>
          <w:tcPr>
            <w:tcW w:type="dxa" w:w="1632"/>
            <w:vAlign w:val="center"/>
            <w:shd w:fill="FFFFFF"/>
          </w:tcPr>
          <w:p>
            <w:pPr>
              <w:spacing w:after="100" w:before="100"/>
            </w:pPr>
            <w:r>
              <w:rPr>
                <w:b w:val="0"/>
                <w:i w:val="0"/>
                <w:sz w:val="18"/>
              </w:rPr>
              <w:t>-3.16204e-06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55.16287</w:t>
            </w:r>
          </w:p>
        </w:tc>
        <w:tc>
          <w:tcPr>
            <w:tcW w:type="dxa" w:w="1632"/>
            <w:vAlign w:val="center"/>
            <w:shd w:fill="FFFFFF"/>
          </w:tcPr>
          <w:p>
            <w:pPr>
              <w:spacing w:after="100" w:before="100"/>
            </w:pPr>
            <w:r>
              <w:rPr>
                <w:b w:val="0"/>
                <w:i w:val="0"/>
                <w:sz w:val="18"/>
              </w:rPr>
              <w:t>55.16287</w:t>
            </w:r>
          </w:p>
        </w:tc>
        <w:tc>
          <w:tcPr>
            <w:tcW w:type="dxa" w:w="1632"/>
            <w:vAlign w:val="center"/>
            <w:shd w:fill="FFFFFF"/>
          </w:tcPr>
          <w:p>
            <w:pPr>
              <w:spacing w:after="100" w:before="100"/>
            </w:pPr>
            <w:r>
              <w:rPr>
                <w:b w:val="0"/>
                <w:i w:val="0"/>
                <w:sz w:val="18"/>
              </w:rPr>
              <w:t>-3.16204e-06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21.11641</w:t>
            </w:r>
          </w:p>
        </w:tc>
        <w:tc>
          <w:tcPr>
            <w:tcW w:type="dxa" w:w="1632"/>
            <w:vAlign w:val="center"/>
            <w:shd w:fill="FFFFFF"/>
          </w:tcPr>
          <w:p>
            <w:pPr>
              <w:spacing w:after="100" w:before="100"/>
            </w:pPr>
            <w:r>
              <w:rPr>
                <w:b w:val="0"/>
                <w:i w:val="0"/>
                <w:sz w:val="18"/>
              </w:rPr>
              <w:t>21.11641</w:t>
            </w:r>
          </w:p>
        </w:tc>
        <w:tc>
          <w:tcPr>
            <w:tcW w:type="dxa" w:w="1632"/>
            <w:vAlign w:val="center"/>
            <w:shd w:fill="FFFFFF"/>
          </w:tcPr>
          <w:p>
            <w:pPr>
              <w:spacing w:after="100" w:before="100"/>
            </w:pPr>
            <w:r>
              <w:rPr>
                <w:b w:val="0"/>
                <w:i w:val="0"/>
                <w:sz w:val="18"/>
              </w:rPr>
              <w:t>1.51366e-05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0.30616</w:t>
            </w:r>
          </w:p>
        </w:tc>
        <w:tc>
          <w:tcPr>
            <w:tcW w:type="dxa" w:w="1632"/>
            <w:vAlign w:val="center"/>
            <w:shd w:fill="FFFFFF"/>
          </w:tcPr>
          <w:p>
            <w:pPr>
              <w:spacing w:after="100" w:before="100"/>
            </w:pPr>
            <w:r>
              <w:rPr>
                <w:b w:val="0"/>
                <w:i w:val="0"/>
                <w:sz w:val="18"/>
              </w:rPr>
              <w:t>0.3061614</w:t>
            </w:r>
          </w:p>
        </w:tc>
        <w:tc>
          <w:tcPr>
            <w:tcW w:type="dxa" w:w="1632"/>
            <w:vAlign w:val="center"/>
            <w:shd w:fill="FFFFFF"/>
          </w:tcPr>
          <w:p>
            <w:pPr>
              <w:spacing w:after="100" w:before="100"/>
            </w:pPr>
            <w:r>
              <w:rPr>
                <w:b w:val="0"/>
                <w:i w:val="0"/>
                <w:sz w:val="18"/>
              </w:rPr>
              <w:t>-0.000463438</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27">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T800/BMI Hoop-Dominant Cylinder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55.95968</w:t>
            </w:r>
          </w:p>
        </w:tc>
        <w:tc>
          <w:tcPr>
            <w:tcW w:type="dxa" w:w="1632"/>
            <w:vAlign w:val="center"/>
            <w:shd w:fill="FFFFFF"/>
          </w:tcPr>
          <w:p>
            <w:pPr>
              <w:spacing w:after="100" w:before="100"/>
            </w:pPr>
            <w:r>
              <w:rPr>
                <w:b w:val="0"/>
                <w:i w:val="0"/>
                <w:sz w:val="18"/>
              </w:rPr>
              <w:t>55.95968</w:t>
            </w:r>
          </w:p>
        </w:tc>
        <w:tc>
          <w:tcPr>
            <w:tcW w:type="dxa" w:w="1632"/>
            <w:vAlign w:val="center"/>
            <w:shd w:fill="FFFFFF"/>
          </w:tcPr>
          <w:p>
            <w:pPr>
              <w:spacing w:after="100" w:before="100"/>
            </w:pPr>
            <w:r>
              <w:rPr>
                <w:b w:val="0"/>
                <w:i w:val="0"/>
                <w:sz w:val="18"/>
              </w:rPr>
              <w:t>1.22835e-06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86.55413</w:t>
            </w:r>
          </w:p>
        </w:tc>
        <w:tc>
          <w:tcPr>
            <w:tcW w:type="dxa" w:w="1632"/>
            <w:vAlign w:val="center"/>
            <w:shd w:fill="FFFFFF"/>
          </w:tcPr>
          <w:p>
            <w:pPr>
              <w:spacing w:after="100" w:before="100"/>
            </w:pPr>
            <w:r>
              <w:rPr>
                <w:b w:val="0"/>
                <w:i w:val="0"/>
                <w:sz w:val="18"/>
              </w:rPr>
              <w:t>86.55413</w:t>
            </w:r>
          </w:p>
        </w:tc>
        <w:tc>
          <w:tcPr>
            <w:tcW w:type="dxa" w:w="1632"/>
            <w:vAlign w:val="center"/>
            <w:shd w:fill="FFFFFF"/>
          </w:tcPr>
          <w:p>
            <w:pPr>
              <w:spacing w:after="100" w:before="100"/>
            </w:pPr>
            <w:r>
              <w:rPr>
                <w:b w:val="0"/>
                <w:i w:val="0"/>
                <w:sz w:val="18"/>
              </w:rPr>
              <w:t>-3.40854e-07</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21.02915</w:t>
            </w:r>
          </w:p>
        </w:tc>
        <w:tc>
          <w:tcPr>
            <w:tcW w:type="dxa" w:w="1632"/>
            <w:vAlign w:val="center"/>
            <w:shd w:fill="FFFFFF"/>
          </w:tcPr>
          <w:p>
            <w:pPr>
              <w:spacing w:after="100" w:before="100"/>
            </w:pPr>
            <w:r>
              <w:rPr>
                <w:b w:val="0"/>
                <w:i w:val="0"/>
                <w:sz w:val="18"/>
              </w:rPr>
              <w:t>21.02915</w:t>
            </w:r>
          </w:p>
        </w:tc>
        <w:tc>
          <w:tcPr>
            <w:tcW w:type="dxa" w:w="1632"/>
            <w:vAlign w:val="center"/>
            <w:shd w:fill="FFFFFF"/>
          </w:tcPr>
          <w:p>
            <w:pPr>
              <w:spacing w:after="100" w:before="100"/>
            </w:pPr>
            <w:r>
              <w:rPr>
                <w:b w:val="0"/>
                <w:i w:val="0"/>
                <w:sz w:val="18"/>
              </w:rPr>
              <w:t>1.52316e-05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0.2003</w:t>
            </w:r>
          </w:p>
        </w:tc>
        <w:tc>
          <w:tcPr>
            <w:tcW w:type="dxa" w:w="1632"/>
            <w:vAlign w:val="center"/>
            <w:shd w:fill="FFFFFF"/>
          </w:tcPr>
          <w:p>
            <w:pPr>
              <w:spacing w:after="100" w:before="100"/>
            </w:pPr>
            <w:r>
              <w:rPr>
                <w:b w:val="0"/>
                <w:i w:val="0"/>
                <w:sz w:val="18"/>
              </w:rPr>
              <w:t>0.2003007</w:t>
            </w:r>
          </w:p>
        </w:tc>
        <w:tc>
          <w:tcPr>
            <w:tcW w:type="dxa" w:w="1632"/>
            <w:vAlign w:val="center"/>
            <w:shd w:fill="FFFFFF"/>
          </w:tcPr>
          <w:p>
            <w:pPr>
              <w:spacing w:after="100" w:before="100"/>
            </w:pPr>
            <w:r>
              <w:rPr>
                <w:b w:val="0"/>
                <w:i w:val="0"/>
                <w:sz w:val="18"/>
              </w:rPr>
              <w:t>-0.000356041</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28">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T300 / EPON 862 Epoxy UD Prepreg · stored-ply elasticity</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132</w:t>
            </w:r>
          </w:p>
        </w:tc>
        <w:tc>
          <w:tcPr>
            <w:tcW w:type="dxa" w:w="1632"/>
            <w:vAlign w:val="center"/>
            <w:shd w:fill="FFFFFF"/>
          </w:tcPr>
          <w:p>
            <w:pPr>
              <w:spacing w:after="100" w:before="100"/>
            </w:pPr>
            <w:r>
              <w:rPr>
                <w:b w:val="0"/>
                <w:i w:val="0"/>
                <w:sz w:val="18"/>
              </w:rPr>
              <w:t>132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8.4</w:t>
            </w:r>
          </w:p>
        </w:tc>
        <w:tc>
          <w:tcPr>
            <w:tcW w:type="dxa" w:w="1632"/>
            <w:vAlign w:val="center"/>
            <w:shd w:fill="FFFFFF"/>
          </w:tcPr>
          <w:p>
            <w:pPr>
              <w:spacing w:after="100" w:before="100"/>
            </w:pPr>
            <w:r>
              <w:rPr>
                <w:b w:val="0"/>
                <w:i w:val="0"/>
                <w:sz w:val="18"/>
              </w:rPr>
              <w:t>8.4</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4.5</w:t>
            </w:r>
          </w:p>
        </w:tc>
        <w:tc>
          <w:tcPr>
            <w:tcW w:type="dxa" w:w="1632"/>
            <w:vAlign w:val="center"/>
            <w:shd w:fill="FFFFFF"/>
          </w:tcPr>
          <w:p>
            <w:pPr>
              <w:spacing w:after="100" w:before="100"/>
            </w:pPr>
            <w:r>
              <w:rPr>
                <w:b w:val="0"/>
                <w:i w:val="0"/>
                <w:sz w:val="18"/>
              </w:rPr>
              <w:t>4.5</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w:t>
            </w:r>
          </w:p>
        </w:tc>
        <w:tc>
          <w:tcPr>
            <w:tcW w:type="dxa" w:w="1632"/>
            <w:vAlign w:val="center"/>
            <w:shd w:fill="FFFFFF"/>
          </w:tcPr>
          <w:p>
            <w:pPr>
              <w:spacing w:after="100" w:before="100"/>
            </w:pPr>
            <w:r>
              <w:rPr>
                <w:b w:val="0"/>
                <w:i w:val="0"/>
                <w:sz w:val="18"/>
              </w:rPr>
              <w:t>0.31</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29">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T800S / 977-3-Type Epoxy UD Prepreg · stored-ply elasticity</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174</w:t>
            </w:r>
          </w:p>
        </w:tc>
        <w:tc>
          <w:tcPr>
            <w:tcW w:type="dxa" w:w="1632"/>
            <w:vAlign w:val="center"/>
            <w:shd w:fill="FFFFFF"/>
          </w:tcPr>
          <w:p>
            <w:pPr>
              <w:spacing w:after="100" w:before="100"/>
            </w:pPr>
            <w:r>
              <w:rPr>
                <w:b w:val="0"/>
                <w:i w:val="0"/>
                <w:sz w:val="18"/>
              </w:rPr>
              <w:t>174</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9.4</w:t>
            </w:r>
          </w:p>
        </w:tc>
        <w:tc>
          <w:tcPr>
            <w:tcW w:type="dxa" w:w="1632"/>
            <w:vAlign w:val="center"/>
            <w:shd w:fill="FFFFFF"/>
          </w:tcPr>
          <w:p>
            <w:pPr>
              <w:spacing w:after="100" w:before="100"/>
            </w:pPr>
            <w:r>
              <w:rPr>
                <w:b w:val="0"/>
                <w:i w:val="0"/>
                <w:sz w:val="18"/>
              </w:rPr>
              <w:t>9.4</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5.3</w:t>
            </w:r>
          </w:p>
        </w:tc>
        <w:tc>
          <w:tcPr>
            <w:tcW w:type="dxa" w:w="1632"/>
            <w:vAlign w:val="center"/>
            <w:shd w:fill="FFFFFF"/>
          </w:tcPr>
          <w:p>
            <w:pPr>
              <w:spacing w:after="100" w:before="100"/>
            </w:pPr>
            <w:r>
              <w:rPr>
                <w:b w:val="0"/>
                <w:i w:val="0"/>
                <w:sz w:val="18"/>
              </w:rPr>
              <w:t>5.3</w:t>
            </w:r>
          </w:p>
        </w:tc>
        <w:tc>
          <w:tcPr>
            <w:tcW w:type="dxa" w:w="1632"/>
            <w:vAlign w:val="center"/>
            <w:shd w:fill="FFFFFF"/>
          </w:tcPr>
          <w:p>
            <w:pPr>
              <w:spacing w:after="100" w:before="100"/>
            </w:pPr>
            <w:r>
              <w:rPr>
                <w:b w:val="0"/>
                <w:i w:val="0"/>
                <w:sz w:val="18"/>
              </w:rPr>
              <w:t>-1.67581e-14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w:t>
            </w:r>
          </w:p>
        </w:tc>
        <w:tc>
          <w:tcPr>
            <w:tcW w:type="dxa" w:w="1632"/>
            <w:vAlign w:val="center"/>
            <w:shd w:fill="FFFFFF"/>
          </w:tcPr>
          <w:p>
            <w:pPr>
              <w:spacing w:after="100" w:before="100"/>
            </w:pPr>
            <w:r>
              <w:rPr>
                <w:b w:val="0"/>
                <w:i w:val="0"/>
                <w:sz w:val="18"/>
              </w:rPr>
              <w:t>0.31</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30">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AS4 / LY 1564-Type Epoxy UD Prepreg · stored-ply elasticity</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137</w:t>
            </w:r>
          </w:p>
        </w:tc>
        <w:tc>
          <w:tcPr>
            <w:tcW w:type="dxa" w:w="1632"/>
            <w:vAlign w:val="center"/>
            <w:shd w:fill="FFFFFF"/>
          </w:tcPr>
          <w:p>
            <w:pPr>
              <w:spacing w:after="100" w:before="100"/>
            </w:pPr>
            <w:r>
              <w:rPr>
                <w:b w:val="0"/>
                <w:i w:val="0"/>
                <w:sz w:val="18"/>
              </w:rPr>
              <w:t>137</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8.9</w:t>
            </w:r>
          </w:p>
        </w:tc>
        <w:tc>
          <w:tcPr>
            <w:tcW w:type="dxa" w:w="1632"/>
            <w:vAlign w:val="center"/>
            <w:shd w:fill="FFFFFF"/>
          </w:tcPr>
          <w:p>
            <w:pPr>
              <w:spacing w:after="100" w:before="100"/>
            </w:pPr>
            <w:r>
              <w:rPr>
                <w:b w:val="0"/>
                <w:i w:val="0"/>
                <w:sz w:val="18"/>
              </w:rPr>
              <w:t>8.9</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4.9</w:t>
            </w:r>
          </w:p>
        </w:tc>
        <w:tc>
          <w:tcPr>
            <w:tcW w:type="dxa" w:w="1632"/>
            <w:vAlign w:val="center"/>
            <w:shd w:fill="FFFFFF"/>
          </w:tcPr>
          <w:p>
            <w:pPr>
              <w:spacing w:after="100" w:before="100"/>
            </w:pPr>
            <w:r>
              <w:rPr>
                <w:b w:val="0"/>
                <w:i w:val="0"/>
                <w:sz w:val="18"/>
              </w:rPr>
              <w:t>4.9</w:t>
            </w:r>
          </w:p>
        </w:tc>
        <w:tc>
          <w:tcPr>
            <w:tcW w:type="dxa" w:w="1632"/>
            <w:vAlign w:val="center"/>
            <w:shd w:fill="FFFFFF"/>
          </w:tcPr>
          <w:p>
            <w:pPr>
              <w:spacing w:after="100" w:before="100"/>
            </w:pPr>
            <w:r>
              <w:rPr>
                <w:b w:val="0"/>
                <w:i w:val="0"/>
                <w:sz w:val="18"/>
              </w:rPr>
              <w:t>1.81261e-14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w:t>
            </w:r>
          </w:p>
        </w:tc>
        <w:tc>
          <w:tcPr>
            <w:tcW w:type="dxa" w:w="1632"/>
            <w:vAlign w:val="center"/>
            <w:shd w:fill="FFFFFF"/>
          </w:tcPr>
          <w:p>
            <w:pPr>
              <w:spacing w:after="100" w:before="100"/>
            </w:pPr>
            <w:r>
              <w:rPr>
                <w:b w:val="0"/>
                <w:i w:val="0"/>
                <w:sz w:val="18"/>
              </w:rPr>
              <w:t>0.31</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31">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T300 / Phenolic Plain Weave · stored-ply elasticity</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62</w:t>
            </w:r>
          </w:p>
        </w:tc>
        <w:tc>
          <w:tcPr>
            <w:tcW w:type="dxa" w:w="1632"/>
            <w:vAlign w:val="center"/>
            <w:shd w:fill="FFFFFF"/>
          </w:tcPr>
          <w:p>
            <w:pPr>
              <w:spacing w:after="100" w:before="100"/>
            </w:pPr>
            <w:r>
              <w:rPr>
                <w:b w:val="0"/>
                <w:i w:val="0"/>
                <w:sz w:val="18"/>
              </w:rPr>
              <w:t>62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62</w:t>
            </w:r>
          </w:p>
        </w:tc>
        <w:tc>
          <w:tcPr>
            <w:tcW w:type="dxa" w:w="1632"/>
            <w:vAlign w:val="center"/>
            <w:shd w:fill="FFFFFF"/>
          </w:tcPr>
          <w:p>
            <w:pPr>
              <w:spacing w:after="100" w:before="100"/>
            </w:pPr>
            <w:r>
              <w:rPr>
                <w:b w:val="0"/>
                <w:i w:val="0"/>
                <w:sz w:val="18"/>
              </w:rPr>
              <w:t>62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4.2</w:t>
            </w:r>
          </w:p>
        </w:tc>
        <w:tc>
          <w:tcPr>
            <w:tcW w:type="dxa" w:w="1632"/>
            <w:vAlign w:val="center"/>
            <w:shd w:fill="FFFFFF"/>
          </w:tcPr>
          <w:p>
            <w:pPr>
              <w:spacing w:after="100" w:before="100"/>
            </w:pPr>
            <w:r>
              <w:rPr>
                <w:b w:val="0"/>
                <w:i w:val="0"/>
                <w:sz w:val="18"/>
              </w:rPr>
              <w:t>4.2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0.08</w:t>
            </w:r>
          </w:p>
        </w:tc>
        <w:tc>
          <w:tcPr>
            <w:tcW w:type="dxa" w:w="1632"/>
            <w:vAlign w:val="center"/>
            <w:shd w:fill="FFFFFF"/>
          </w:tcPr>
          <w:p>
            <w:pPr>
              <w:spacing w:after="100" w:before="100"/>
            </w:pPr>
            <w:r>
              <w:rPr>
                <w:b w:val="0"/>
                <w:i w:val="0"/>
                <w:sz w:val="18"/>
              </w:rPr>
              <w:t>0.08</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32">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T700/Epoxy Cross-Ply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71.74858</w:t>
            </w:r>
          </w:p>
        </w:tc>
        <w:tc>
          <w:tcPr>
            <w:tcW w:type="dxa" w:w="1632"/>
            <w:vAlign w:val="center"/>
            <w:shd w:fill="FFFFFF"/>
          </w:tcPr>
          <w:p>
            <w:pPr>
              <w:spacing w:after="100" w:before="100"/>
            </w:pPr>
            <w:r>
              <w:rPr>
                <w:b w:val="0"/>
                <w:i w:val="0"/>
                <w:sz w:val="18"/>
              </w:rPr>
              <w:t>71.74858</w:t>
            </w:r>
          </w:p>
        </w:tc>
        <w:tc>
          <w:tcPr>
            <w:tcW w:type="dxa" w:w="1632"/>
            <w:vAlign w:val="center"/>
            <w:shd w:fill="FFFFFF"/>
          </w:tcPr>
          <w:p>
            <w:pPr>
              <w:spacing w:after="100" w:before="100"/>
            </w:pPr>
            <w:r>
              <w:rPr>
                <w:b w:val="0"/>
                <w:i w:val="0"/>
                <w:sz w:val="18"/>
              </w:rPr>
              <w:t>1.35602e-06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71.74858</w:t>
            </w:r>
          </w:p>
        </w:tc>
        <w:tc>
          <w:tcPr>
            <w:tcW w:type="dxa" w:w="1632"/>
            <w:vAlign w:val="center"/>
            <w:shd w:fill="FFFFFF"/>
          </w:tcPr>
          <w:p>
            <w:pPr>
              <w:spacing w:after="100" w:before="100"/>
            </w:pPr>
            <w:r>
              <w:rPr>
                <w:b w:val="0"/>
                <w:i w:val="0"/>
                <w:sz w:val="18"/>
              </w:rPr>
              <w:t>71.74858</w:t>
            </w:r>
          </w:p>
        </w:tc>
        <w:tc>
          <w:tcPr>
            <w:tcW w:type="dxa" w:w="1632"/>
            <w:vAlign w:val="center"/>
            <w:shd w:fill="FFFFFF"/>
          </w:tcPr>
          <w:p>
            <w:pPr>
              <w:spacing w:after="100" w:before="100"/>
            </w:pPr>
            <w:r>
              <w:rPr>
                <w:b w:val="0"/>
                <w:i w:val="0"/>
                <w:sz w:val="18"/>
              </w:rPr>
              <w:t>1.35602e-06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4.8</w:t>
            </w:r>
          </w:p>
        </w:tc>
        <w:tc>
          <w:tcPr>
            <w:tcW w:type="dxa" w:w="1632"/>
            <w:vAlign w:val="center"/>
            <w:shd w:fill="FFFFFF"/>
          </w:tcPr>
          <w:p>
            <w:pPr>
              <w:spacing w:after="100" w:before="100"/>
            </w:pPr>
            <w:r>
              <w:rPr>
                <w:b w:val="0"/>
                <w:i w:val="0"/>
                <w:sz w:val="18"/>
              </w:rPr>
              <w:t>4.8</w:t>
            </w:r>
          </w:p>
        </w:tc>
        <w:tc>
          <w:tcPr>
            <w:tcW w:type="dxa" w:w="1632"/>
            <w:vAlign w:val="center"/>
            <w:shd w:fill="FFFFFF"/>
          </w:tcPr>
          <w:p>
            <w:pPr>
              <w:spacing w:after="100" w:before="100"/>
            </w:pPr>
            <w:r>
              <w:rPr>
                <w:b w:val="0"/>
                <w:i w:val="0"/>
                <w:sz w:val="18"/>
              </w:rPr>
              <w:t>-1.85037e-14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0.03821</w:t>
            </w:r>
          </w:p>
        </w:tc>
        <w:tc>
          <w:tcPr>
            <w:tcW w:type="dxa" w:w="1632"/>
            <w:vAlign w:val="center"/>
            <w:shd w:fill="FFFFFF"/>
          </w:tcPr>
          <w:p>
            <w:pPr>
              <w:spacing w:after="100" w:before="100"/>
            </w:pPr>
            <w:r>
              <w:rPr>
                <w:b w:val="0"/>
                <w:i w:val="0"/>
                <w:sz w:val="18"/>
              </w:rPr>
              <w:t>0.03820728</w:t>
            </w:r>
          </w:p>
        </w:tc>
        <w:tc>
          <w:tcPr>
            <w:tcW w:type="dxa" w:w="1632"/>
            <w:vAlign w:val="center"/>
            <w:shd w:fill="FFFFFF"/>
          </w:tcPr>
          <w:p>
            <w:pPr>
              <w:spacing w:after="100" w:before="100"/>
            </w:pPr>
            <w:r>
              <w:rPr>
                <w:b w:val="0"/>
                <w:i w:val="0"/>
                <w:sz w:val="18"/>
              </w:rPr>
              <w:t>0.00711144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33">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T700/Epoxy Balanced Angle-Ply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17.0109</w:t>
            </w:r>
          </w:p>
        </w:tc>
        <w:tc>
          <w:tcPr>
            <w:tcW w:type="dxa" w:w="1632"/>
            <w:vAlign w:val="center"/>
            <w:shd w:fill="FFFFFF"/>
          </w:tcPr>
          <w:p>
            <w:pPr>
              <w:spacing w:after="100" w:before="100"/>
            </w:pPr>
            <w:r>
              <w:rPr>
                <w:b w:val="0"/>
                <w:i w:val="0"/>
                <w:sz w:val="18"/>
              </w:rPr>
              <w:t>17.0109</w:t>
            </w:r>
          </w:p>
        </w:tc>
        <w:tc>
          <w:tcPr>
            <w:tcW w:type="dxa" w:w="1632"/>
            <w:vAlign w:val="center"/>
            <w:shd w:fill="FFFFFF"/>
          </w:tcPr>
          <w:p>
            <w:pPr>
              <w:spacing w:after="100" w:before="100"/>
            </w:pPr>
            <w:r>
              <w:rPr>
                <w:b w:val="0"/>
                <w:i w:val="0"/>
                <w:sz w:val="18"/>
              </w:rPr>
              <w:t>2.89691e-05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17.0109</w:t>
            </w:r>
          </w:p>
        </w:tc>
        <w:tc>
          <w:tcPr>
            <w:tcW w:type="dxa" w:w="1632"/>
            <w:vAlign w:val="center"/>
            <w:shd w:fill="FFFFFF"/>
          </w:tcPr>
          <w:p>
            <w:pPr>
              <w:spacing w:after="100" w:before="100"/>
            </w:pPr>
            <w:r>
              <w:rPr>
                <w:b w:val="0"/>
                <w:i w:val="0"/>
                <w:sz w:val="18"/>
              </w:rPr>
              <w:t>17.0109</w:t>
            </w:r>
          </w:p>
        </w:tc>
        <w:tc>
          <w:tcPr>
            <w:tcW w:type="dxa" w:w="1632"/>
            <w:vAlign w:val="center"/>
            <w:shd w:fill="FFFFFF"/>
          </w:tcPr>
          <w:p>
            <w:pPr>
              <w:spacing w:after="100" w:before="100"/>
            </w:pPr>
            <w:r>
              <w:rPr>
                <w:b w:val="0"/>
                <w:i w:val="0"/>
                <w:sz w:val="18"/>
              </w:rPr>
              <w:t>2.89691e-05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34.55407</w:t>
            </w:r>
          </w:p>
        </w:tc>
        <w:tc>
          <w:tcPr>
            <w:tcW w:type="dxa" w:w="1632"/>
            <w:vAlign w:val="center"/>
            <w:shd w:fill="FFFFFF"/>
          </w:tcPr>
          <w:p>
            <w:pPr>
              <w:spacing w:after="100" w:before="100"/>
            </w:pPr>
            <w:r>
              <w:rPr>
                <w:b w:val="0"/>
                <w:i w:val="0"/>
                <w:sz w:val="18"/>
              </w:rPr>
              <w:t>34.55407</w:t>
            </w:r>
          </w:p>
        </w:tc>
        <w:tc>
          <w:tcPr>
            <w:tcW w:type="dxa" w:w="1632"/>
            <w:vAlign w:val="center"/>
            <w:shd w:fill="FFFFFF"/>
          </w:tcPr>
          <w:p>
            <w:pPr>
              <w:spacing w:after="100" w:before="100"/>
            </w:pPr>
            <w:r>
              <w:rPr>
                <w:b w:val="0"/>
                <w:i w:val="0"/>
                <w:sz w:val="18"/>
              </w:rPr>
              <w:t>-6.6489e-06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0.77197</w:t>
            </w:r>
          </w:p>
        </w:tc>
        <w:tc>
          <w:tcPr>
            <w:tcW w:type="dxa" w:w="1632"/>
            <w:vAlign w:val="center"/>
            <w:shd w:fill="FFFFFF"/>
          </w:tcPr>
          <w:p>
            <w:pPr>
              <w:spacing w:after="100" w:before="100"/>
            </w:pPr>
            <w:r>
              <w:rPr>
                <w:b w:val="0"/>
                <w:i w:val="0"/>
                <w:sz w:val="18"/>
              </w:rPr>
              <w:t>0.7719682</w:t>
            </w:r>
          </w:p>
        </w:tc>
        <w:tc>
          <w:tcPr>
            <w:tcW w:type="dxa" w:w="1632"/>
            <w:vAlign w:val="center"/>
            <w:shd w:fill="FFFFFF"/>
          </w:tcPr>
          <w:p>
            <w:pPr>
              <w:spacing w:after="100" w:before="100"/>
            </w:pPr>
            <w:r>
              <w:rPr>
                <w:b w:val="0"/>
                <w:i w:val="0"/>
                <w:sz w:val="18"/>
              </w:rPr>
              <w:t>0.000228419</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34">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IM7/Toughened Epoxy Unidirectional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165</w:t>
            </w:r>
          </w:p>
        </w:tc>
        <w:tc>
          <w:tcPr>
            <w:tcW w:type="dxa" w:w="1632"/>
            <w:vAlign w:val="center"/>
            <w:shd w:fill="FFFFFF"/>
          </w:tcPr>
          <w:p>
            <w:pPr>
              <w:spacing w:after="100" w:before="100"/>
            </w:pPr>
            <w:r>
              <w:rPr>
                <w:b w:val="0"/>
                <w:i w:val="0"/>
                <w:sz w:val="18"/>
              </w:rPr>
              <w:t>165</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9</w:t>
            </w:r>
          </w:p>
        </w:tc>
        <w:tc>
          <w:tcPr>
            <w:tcW w:type="dxa" w:w="1632"/>
            <w:vAlign w:val="center"/>
            <w:shd w:fill="FFFFFF"/>
          </w:tcPr>
          <w:p>
            <w:pPr>
              <w:spacing w:after="100" w:before="100"/>
            </w:pPr>
            <w:r>
              <w:rPr>
                <w:b w:val="0"/>
                <w:i w:val="0"/>
                <w:sz w:val="18"/>
              </w:rPr>
              <w:t>9</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5.2</w:t>
            </w:r>
          </w:p>
        </w:tc>
        <w:tc>
          <w:tcPr>
            <w:tcW w:type="dxa" w:w="1632"/>
            <w:vAlign w:val="center"/>
            <w:shd w:fill="FFFFFF"/>
          </w:tcPr>
          <w:p>
            <w:pPr>
              <w:spacing w:after="100" w:before="100"/>
            </w:pPr>
            <w:r>
              <w:rPr>
                <w:b w:val="0"/>
                <w:i w:val="0"/>
                <w:sz w:val="18"/>
              </w:rPr>
              <w:t>5.2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0.32</w:t>
            </w:r>
          </w:p>
        </w:tc>
        <w:tc>
          <w:tcPr>
            <w:tcW w:type="dxa" w:w="1632"/>
            <w:vAlign w:val="center"/>
            <w:shd w:fill="FFFFFF"/>
          </w:tcPr>
          <w:p>
            <w:pPr>
              <w:spacing w:after="100" w:before="100"/>
            </w:pPr>
            <w:r>
              <w:rPr>
                <w:b w:val="0"/>
                <w:i w:val="0"/>
                <w:sz w:val="18"/>
              </w:rPr>
              <w:t>0.32</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35">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AS4/PEEK Cross-Ply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76.36559</w:t>
            </w:r>
          </w:p>
        </w:tc>
        <w:tc>
          <w:tcPr>
            <w:tcW w:type="dxa" w:w="1632"/>
            <w:vAlign w:val="center"/>
            <w:shd w:fill="FFFFFF"/>
          </w:tcPr>
          <w:p>
            <w:pPr>
              <w:spacing w:after="100" w:before="100"/>
            </w:pPr>
            <w:r>
              <w:rPr>
                <w:b w:val="0"/>
                <w:i w:val="0"/>
                <w:sz w:val="18"/>
              </w:rPr>
              <w:t>76.36559</w:t>
            </w:r>
          </w:p>
        </w:tc>
        <w:tc>
          <w:tcPr>
            <w:tcW w:type="dxa" w:w="1632"/>
            <w:vAlign w:val="center"/>
            <w:shd w:fill="FFFFFF"/>
          </w:tcPr>
          <w:p>
            <w:pPr>
              <w:spacing w:after="100" w:before="100"/>
            </w:pPr>
            <w:r>
              <w:rPr>
                <w:b w:val="0"/>
                <w:i w:val="0"/>
                <w:sz w:val="18"/>
              </w:rPr>
              <w:t>4.99735e-06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76.36559</w:t>
            </w:r>
          </w:p>
        </w:tc>
        <w:tc>
          <w:tcPr>
            <w:tcW w:type="dxa" w:w="1632"/>
            <w:vAlign w:val="center"/>
            <w:shd w:fill="FFFFFF"/>
          </w:tcPr>
          <w:p>
            <w:pPr>
              <w:spacing w:after="100" w:before="100"/>
            </w:pPr>
            <w:r>
              <w:rPr>
                <w:b w:val="0"/>
                <w:i w:val="0"/>
                <w:sz w:val="18"/>
              </w:rPr>
              <w:t>76.36559</w:t>
            </w:r>
          </w:p>
        </w:tc>
        <w:tc>
          <w:tcPr>
            <w:tcW w:type="dxa" w:w="1632"/>
            <w:vAlign w:val="center"/>
            <w:shd w:fill="FFFFFF"/>
          </w:tcPr>
          <w:p>
            <w:pPr>
              <w:spacing w:after="100" w:before="100"/>
            </w:pPr>
            <w:r>
              <w:rPr>
                <w:b w:val="0"/>
                <w:i w:val="0"/>
                <w:sz w:val="18"/>
              </w:rPr>
              <w:t>4.99735e-06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5.5</w:t>
            </w:r>
          </w:p>
        </w:tc>
        <w:tc>
          <w:tcPr>
            <w:tcW w:type="dxa" w:w="1632"/>
            <w:vAlign w:val="center"/>
            <w:shd w:fill="FFFFFF"/>
          </w:tcPr>
          <w:p>
            <w:pPr>
              <w:spacing w:after="100" w:before="100"/>
            </w:pPr>
            <w:r>
              <w:rPr>
                <w:b w:val="0"/>
                <w:i w:val="0"/>
                <w:sz w:val="18"/>
              </w:rPr>
              <w:t>5.5</w:t>
            </w:r>
          </w:p>
        </w:tc>
        <w:tc>
          <w:tcPr>
            <w:tcW w:type="dxa" w:w="1632"/>
            <w:vAlign w:val="center"/>
            <w:shd w:fill="FFFFFF"/>
          </w:tcPr>
          <w:p>
            <w:pPr>
              <w:spacing w:after="100" w:before="100"/>
            </w:pPr>
            <w:r>
              <w:rPr>
                <w:b w:val="0"/>
                <w:i w:val="0"/>
                <w:sz w:val="18"/>
              </w:rPr>
              <w:t>1.61487e-14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0.03947</w:t>
            </w:r>
          </w:p>
        </w:tc>
        <w:tc>
          <w:tcPr>
            <w:tcW w:type="dxa" w:w="1632"/>
            <w:vAlign w:val="center"/>
            <w:shd w:fill="FFFFFF"/>
          </w:tcPr>
          <w:p>
            <w:pPr>
              <w:spacing w:after="100" w:before="100"/>
            </w:pPr>
            <w:r>
              <w:rPr>
                <w:b w:val="0"/>
                <w:i w:val="0"/>
                <w:sz w:val="18"/>
              </w:rPr>
              <w:t>0.03947368</w:t>
            </w:r>
          </w:p>
        </w:tc>
        <w:tc>
          <w:tcPr>
            <w:tcW w:type="dxa" w:w="1632"/>
            <w:vAlign w:val="center"/>
            <w:shd w:fill="FFFFFF"/>
          </w:tcPr>
          <w:p>
            <w:pPr>
              <w:spacing w:after="100" w:before="100"/>
            </w:pPr>
            <w:r>
              <w:rPr>
                <w:b w:val="0"/>
                <w:i w:val="0"/>
                <w:sz w:val="18"/>
              </w:rPr>
              <w:t>-0.00933333</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36">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T300/Phenolic Woven Symmetric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44.21802</w:t>
            </w:r>
          </w:p>
        </w:tc>
        <w:tc>
          <w:tcPr>
            <w:tcW w:type="dxa" w:w="1632"/>
            <w:vAlign w:val="center"/>
            <w:shd w:fill="FFFFFF"/>
          </w:tcPr>
          <w:p>
            <w:pPr>
              <w:spacing w:after="100" w:before="100"/>
            </w:pPr>
            <w:r>
              <w:rPr>
                <w:b w:val="0"/>
                <w:i w:val="0"/>
                <w:sz w:val="18"/>
              </w:rPr>
              <w:t>44.21802</w:t>
            </w:r>
          </w:p>
        </w:tc>
        <w:tc>
          <w:tcPr>
            <w:tcW w:type="dxa" w:w="1632"/>
            <w:vAlign w:val="center"/>
            <w:shd w:fill="FFFFFF"/>
          </w:tcPr>
          <w:p>
            <w:pPr>
              <w:spacing w:after="100" w:before="100"/>
            </w:pPr>
            <w:r>
              <w:rPr>
                <w:b w:val="0"/>
                <w:i w:val="0"/>
                <w:sz w:val="18"/>
              </w:rPr>
              <w:t>-7.86975e-06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44.21802</w:t>
            </w:r>
          </w:p>
        </w:tc>
        <w:tc>
          <w:tcPr>
            <w:tcW w:type="dxa" w:w="1632"/>
            <w:vAlign w:val="center"/>
            <w:shd w:fill="FFFFFF"/>
          </w:tcPr>
          <w:p>
            <w:pPr>
              <w:spacing w:after="100" w:before="100"/>
            </w:pPr>
            <w:r>
              <w:rPr>
                <w:b w:val="0"/>
                <w:i w:val="0"/>
                <w:sz w:val="18"/>
              </w:rPr>
              <w:t>44.21802</w:t>
            </w:r>
          </w:p>
        </w:tc>
        <w:tc>
          <w:tcPr>
            <w:tcW w:type="dxa" w:w="1632"/>
            <w:vAlign w:val="center"/>
            <w:shd w:fill="FFFFFF"/>
          </w:tcPr>
          <w:p>
            <w:pPr>
              <w:spacing w:after="100" w:before="100"/>
            </w:pPr>
            <w:r>
              <w:rPr>
                <w:b w:val="0"/>
                <w:i w:val="0"/>
                <w:sz w:val="18"/>
              </w:rPr>
              <w:t>-7.86975e-06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16.45185</w:t>
            </w:r>
          </w:p>
        </w:tc>
        <w:tc>
          <w:tcPr>
            <w:tcW w:type="dxa" w:w="1632"/>
            <w:vAlign w:val="center"/>
            <w:shd w:fill="FFFFFF"/>
          </w:tcPr>
          <w:p>
            <w:pPr>
              <w:spacing w:after="100" w:before="100"/>
            </w:pPr>
            <w:r>
              <w:rPr>
                <w:b w:val="0"/>
                <w:i w:val="0"/>
                <w:sz w:val="18"/>
              </w:rPr>
              <w:t>16.45185</w:t>
            </w:r>
          </w:p>
        </w:tc>
        <w:tc>
          <w:tcPr>
            <w:tcW w:type="dxa" w:w="1632"/>
            <w:vAlign w:val="center"/>
            <w:shd w:fill="FFFFFF"/>
          </w:tcPr>
          <w:p>
            <w:pPr>
              <w:spacing w:after="100" w:before="100"/>
            </w:pPr>
            <w:r>
              <w:rPr>
                <w:b w:val="0"/>
                <w:i w:val="0"/>
                <w:sz w:val="18"/>
              </w:rPr>
              <w:t>-1.12562e-05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0.34386</w:t>
            </w:r>
          </w:p>
        </w:tc>
        <w:tc>
          <w:tcPr>
            <w:tcW w:type="dxa" w:w="1632"/>
            <w:vAlign w:val="center"/>
            <w:shd w:fill="FFFFFF"/>
          </w:tcPr>
          <w:p>
            <w:pPr>
              <w:spacing w:after="100" w:before="100"/>
            </w:pPr>
            <w:r>
              <w:rPr>
                <w:b w:val="0"/>
                <w:i w:val="0"/>
                <w:sz w:val="18"/>
              </w:rPr>
              <w:t>0.3438616</w:t>
            </w:r>
          </w:p>
        </w:tc>
        <w:tc>
          <w:tcPr>
            <w:tcW w:type="dxa" w:w="1632"/>
            <w:vAlign w:val="center"/>
            <w:shd w:fill="FFFFFF"/>
          </w:tcPr>
          <w:p>
            <w:pPr>
              <w:spacing w:after="100" w:before="100"/>
            </w:pPr>
            <w:r>
              <w:rPr>
                <w:b w:val="0"/>
                <w:i w:val="0"/>
                <w:sz w:val="18"/>
              </w:rPr>
              <w:t>-0.000461544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37">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T300/EPON 862 Quasi-Isotropic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50.47763</w:t>
            </w:r>
          </w:p>
        </w:tc>
        <w:tc>
          <w:tcPr>
            <w:tcW w:type="dxa" w:w="1632"/>
            <w:vAlign w:val="center"/>
            <w:shd w:fill="FFFFFF"/>
          </w:tcPr>
          <w:p>
            <w:pPr>
              <w:spacing w:after="100" w:before="100"/>
            </w:pPr>
            <w:r>
              <w:rPr>
                <w:b w:val="0"/>
                <w:i w:val="0"/>
                <w:sz w:val="18"/>
              </w:rPr>
              <w:t>50.47763</w:t>
            </w:r>
          </w:p>
        </w:tc>
        <w:tc>
          <w:tcPr>
            <w:tcW w:type="dxa" w:w="1632"/>
            <w:vAlign w:val="center"/>
            <w:shd w:fill="FFFFFF"/>
          </w:tcPr>
          <w:p>
            <w:pPr>
              <w:spacing w:after="100" w:before="100"/>
            </w:pPr>
            <w:r>
              <w:rPr>
                <w:b w:val="0"/>
                <w:i w:val="0"/>
                <w:sz w:val="18"/>
              </w:rPr>
              <w:t>7.56942e-06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50.47763</w:t>
            </w:r>
          </w:p>
        </w:tc>
        <w:tc>
          <w:tcPr>
            <w:tcW w:type="dxa" w:w="1632"/>
            <w:vAlign w:val="center"/>
            <w:shd w:fill="FFFFFF"/>
          </w:tcPr>
          <w:p>
            <w:pPr>
              <w:spacing w:after="100" w:before="100"/>
            </w:pPr>
            <w:r>
              <w:rPr>
                <w:b w:val="0"/>
                <w:i w:val="0"/>
                <w:sz w:val="18"/>
              </w:rPr>
              <w:t>50.47763</w:t>
            </w:r>
          </w:p>
        </w:tc>
        <w:tc>
          <w:tcPr>
            <w:tcW w:type="dxa" w:w="1632"/>
            <w:vAlign w:val="center"/>
            <w:shd w:fill="FFFFFF"/>
          </w:tcPr>
          <w:p>
            <w:pPr>
              <w:spacing w:after="100" w:before="100"/>
            </w:pPr>
            <w:r>
              <w:rPr>
                <w:b w:val="0"/>
                <w:i w:val="0"/>
                <w:sz w:val="18"/>
              </w:rPr>
              <w:t>7.56942e-06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19.25298</w:t>
            </w:r>
          </w:p>
        </w:tc>
        <w:tc>
          <w:tcPr>
            <w:tcW w:type="dxa" w:w="1632"/>
            <w:vAlign w:val="center"/>
            <w:shd w:fill="FFFFFF"/>
          </w:tcPr>
          <w:p>
            <w:pPr>
              <w:spacing w:after="100" w:before="100"/>
            </w:pPr>
            <w:r>
              <w:rPr>
                <w:b w:val="0"/>
                <w:i w:val="0"/>
                <w:sz w:val="18"/>
              </w:rPr>
              <w:t>19.25298</w:t>
            </w:r>
          </w:p>
        </w:tc>
        <w:tc>
          <w:tcPr>
            <w:tcW w:type="dxa" w:w="1632"/>
            <w:vAlign w:val="center"/>
            <w:shd w:fill="FFFFFF"/>
          </w:tcPr>
          <w:p>
            <w:pPr>
              <w:spacing w:after="100" w:before="100"/>
            </w:pPr>
            <w:r>
              <w:rPr>
                <w:b w:val="0"/>
                <w:i w:val="0"/>
                <w:sz w:val="18"/>
              </w:rPr>
              <w:t>-4.9716e-06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0.3109</w:t>
            </w:r>
          </w:p>
        </w:tc>
        <w:tc>
          <w:tcPr>
            <w:tcW w:type="dxa" w:w="1632"/>
            <w:vAlign w:val="center"/>
            <w:shd w:fill="FFFFFF"/>
          </w:tcPr>
          <w:p>
            <w:pPr>
              <w:spacing w:after="100" w:before="100"/>
            </w:pPr>
            <w:r>
              <w:rPr>
                <w:b w:val="0"/>
                <w:i w:val="0"/>
                <w:sz w:val="18"/>
              </w:rPr>
              <w:t>0.3109042</w:t>
            </w:r>
          </w:p>
        </w:tc>
        <w:tc>
          <w:tcPr>
            <w:tcW w:type="dxa" w:w="1632"/>
            <w:vAlign w:val="center"/>
            <w:shd w:fill="FFFFFF"/>
          </w:tcPr>
          <w:p>
            <w:pPr>
              <w:spacing w:after="100" w:before="100"/>
            </w:pPr>
            <w:r>
              <w:rPr>
                <w:b w:val="0"/>
                <w:i w:val="0"/>
                <w:sz w:val="18"/>
              </w:rPr>
              <w:t>-0.00134238</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38">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T800/977-3 Quasi-Isotropic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65.4781</w:t>
            </w:r>
          </w:p>
        </w:tc>
        <w:tc>
          <w:tcPr>
            <w:tcW w:type="dxa" w:w="1632"/>
            <w:vAlign w:val="center"/>
            <w:shd w:fill="FFFFFF"/>
          </w:tcPr>
          <w:p>
            <w:pPr>
              <w:spacing w:after="100" w:before="100"/>
            </w:pPr>
            <w:r>
              <w:rPr>
                <w:b w:val="0"/>
                <w:i w:val="0"/>
                <w:sz w:val="18"/>
              </w:rPr>
              <w:t>65.4781</w:t>
            </w:r>
          </w:p>
        </w:tc>
        <w:tc>
          <w:tcPr>
            <w:tcW w:type="dxa" w:w="1632"/>
            <w:vAlign w:val="center"/>
            <w:shd w:fill="FFFFFF"/>
          </w:tcPr>
          <w:p>
            <w:pPr>
              <w:spacing w:after="100" w:before="100"/>
            </w:pPr>
            <w:r>
              <w:rPr>
                <w:b w:val="0"/>
                <w:i w:val="0"/>
                <w:sz w:val="18"/>
              </w:rPr>
              <w:t>3.44673e-06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65.4781</w:t>
            </w:r>
          </w:p>
        </w:tc>
        <w:tc>
          <w:tcPr>
            <w:tcW w:type="dxa" w:w="1632"/>
            <w:vAlign w:val="center"/>
            <w:shd w:fill="FFFFFF"/>
          </w:tcPr>
          <w:p>
            <w:pPr>
              <w:spacing w:after="100" w:before="100"/>
            </w:pPr>
            <w:r>
              <w:rPr>
                <w:b w:val="0"/>
                <w:i w:val="0"/>
                <w:sz w:val="18"/>
              </w:rPr>
              <w:t>65.4781</w:t>
            </w:r>
          </w:p>
        </w:tc>
        <w:tc>
          <w:tcPr>
            <w:tcW w:type="dxa" w:w="1632"/>
            <w:vAlign w:val="center"/>
            <w:shd w:fill="FFFFFF"/>
          </w:tcPr>
          <w:p>
            <w:pPr>
              <w:spacing w:after="100" w:before="100"/>
            </w:pPr>
            <w:r>
              <w:rPr>
                <w:b w:val="0"/>
                <w:i w:val="0"/>
                <w:sz w:val="18"/>
              </w:rPr>
              <w:t>3.44673e-06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24.96234</w:t>
            </w:r>
          </w:p>
        </w:tc>
        <w:tc>
          <w:tcPr>
            <w:tcW w:type="dxa" w:w="1632"/>
            <w:vAlign w:val="center"/>
            <w:shd w:fill="FFFFFF"/>
          </w:tcPr>
          <w:p>
            <w:pPr>
              <w:spacing w:after="100" w:before="100"/>
            </w:pPr>
            <w:r>
              <w:rPr>
                <w:b w:val="0"/>
                <w:i w:val="0"/>
                <w:sz w:val="18"/>
              </w:rPr>
              <w:t>24.96234</w:t>
            </w:r>
          </w:p>
        </w:tc>
        <w:tc>
          <w:tcPr>
            <w:tcW w:type="dxa" w:w="1632"/>
            <w:vAlign w:val="center"/>
            <w:shd w:fill="FFFFFF"/>
          </w:tcPr>
          <w:p>
            <w:pPr>
              <w:spacing w:after="100" w:before="100"/>
            </w:pPr>
            <w:r>
              <w:rPr>
                <w:b w:val="0"/>
                <w:i w:val="0"/>
                <w:sz w:val="18"/>
              </w:rPr>
              <w:t>1.22841e-05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0.31154</w:t>
            </w:r>
          </w:p>
        </w:tc>
        <w:tc>
          <w:tcPr>
            <w:tcW w:type="dxa" w:w="1632"/>
            <w:vAlign w:val="center"/>
            <w:shd w:fill="FFFFFF"/>
          </w:tcPr>
          <w:p>
            <w:pPr>
              <w:spacing w:after="100" w:before="100"/>
            </w:pPr>
            <w:r>
              <w:rPr>
                <w:b w:val="0"/>
                <w:i w:val="0"/>
                <w:sz w:val="18"/>
              </w:rPr>
              <w:t>0.3115378</w:t>
            </w:r>
          </w:p>
        </w:tc>
        <w:tc>
          <w:tcPr>
            <w:tcW w:type="dxa" w:w="1632"/>
            <w:vAlign w:val="center"/>
            <w:shd w:fill="FFFFFF"/>
          </w:tcPr>
          <w:p>
            <w:pPr>
              <w:spacing w:after="100" w:before="100"/>
            </w:pPr>
            <w:r>
              <w:rPr>
                <w:b w:val="0"/>
                <w:i w:val="0"/>
                <w:sz w:val="18"/>
              </w:rPr>
              <w:t>0.000700943</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39">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AS4/LY 1564 Quasi-Isotropic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52.64301</w:t>
            </w:r>
          </w:p>
        </w:tc>
        <w:tc>
          <w:tcPr>
            <w:tcW w:type="dxa" w:w="1632"/>
            <w:vAlign w:val="center"/>
            <w:shd w:fill="FFFFFF"/>
          </w:tcPr>
          <w:p>
            <w:pPr>
              <w:spacing w:after="100" w:before="100"/>
            </w:pPr>
            <w:r>
              <w:rPr>
                <w:b w:val="0"/>
                <w:i w:val="0"/>
                <w:sz w:val="18"/>
              </w:rPr>
              <w:t>52.64301</w:t>
            </w:r>
          </w:p>
        </w:tc>
        <w:tc>
          <w:tcPr>
            <w:tcW w:type="dxa" w:w="1632"/>
            <w:vAlign w:val="center"/>
            <w:shd w:fill="FFFFFF"/>
          </w:tcPr>
          <w:p>
            <w:pPr>
              <w:spacing w:after="100" w:before="100"/>
            </w:pPr>
            <w:r>
              <w:rPr>
                <w:b w:val="0"/>
                <w:i w:val="0"/>
                <w:sz w:val="18"/>
              </w:rPr>
              <w:t>-1.61583e-06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52.64301</w:t>
            </w:r>
          </w:p>
        </w:tc>
        <w:tc>
          <w:tcPr>
            <w:tcW w:type="dxa" w:w="1632"/>
            <w:vAlign w:val="center"/>
            <w:shd w:fill="FFFFFF"/>
          </w:tcPr>
          <w:p>
            <w:pPr>
              <w:spacing w:after="100" w:before="100"/>
            </w:pPr>
            <w:r>
              <w:rPr>
                <w:b w:val="0"/>
                <w:i w:val="0"/>
                <w:sz w:val="18"/>
              </w:rPr>
              <w:t>52.64301</w:t>
            </w:r>
          </w:p>
        </w:tc>
        <w:tc>
          <w:tcPr>
            <w:tcW w:type="dxa" w:w="1632"/>
            <w:vAlign w:val="center"/>
            <w:shd w:fill="FFFFFF"/>
          </w:tcPr>
          <w:p>
            <w:pPr>
              <w:spacing w:after="100" w:before="100"/>
            </w:pPr>
            <w:r>
              <w:rPr>
                <w:b w:val="0"/>
                <w:i w:val="0"/>
                <w:sz w:val="18"/>
              </w:rPr>
              <w:t>-1.61583e-06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20.10799</w:t>
            </w:r>
          </w:p>
        </w:tc>
        <w:tc>
          <w:tcPr>
            <w:tcW w:type="dxa" w:w="1632"/>
            <w:vAlign w:val="center"/>
            <w:shd w:fill="FFFFFF"/>
          </w:tcPr>
          <w:p>
            <w:pPr>
              <w:spacing w:after="100" w:before="100"/>
            </w:pPr>
            <w:r>
              <w:rPr>
                <w:b w:val="0"/>
                <w:i w:val="0"/>
                <w:sz w:val="18"/>
              </w:rPr>
              <w:t>20.10799</w:t>
            </w:r>
          </w:p>
        </w:tc>
        <w:tc>
          <w:tcPr>
            <w:tcW w:type="dxa" w:w="1632"/>
            <w:vAlign w:val="center"/>
            <w:shd w:fill="FFFFFF"/>
          </w:tcPr>
          <w:p>
            <w:pPr>
              <w:spacing w:after="100" w:before="100"/>
            </w:pPr>
            <w:r>
              <w:rPr>
                <w:b w:val="0"/>
                <w:i w:val="0"/>
                <w:sz w:val="18"/>
              </w:rPr>
              <w:t>6.4923e-06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0.30901</w:t>
            </w:r>
          </w:p>
        </w:tc>
        <w:tc>
          <w:tcPr>
            <w:tcW w:type="dxa" w:w="1632"/>
            <w:vAlign w:val="center"/>
            <w:shd w:fill="FFFFFF"/>
          </w:tcPr>
          <w:p>
            <w:pPr>
              <w:spacing w:after="100" w:before="100"/>
            </w:pPr>
            <w:r>
              <w:rPr>
                <w:b w:val="0"/>
                <w:i w:val="0"/>
                <w:sz w:val="18"/>
              </w:rPr>
              <w:t>0.3090074</w:t>
            </w:r>
          </w:p>
        </w:tc>
        <w:tc>
          <w:tcPr>
            <w:tcW w:type="dxa" w:w="1632"/>
            <w:vAlign w:val="center"/>
            <w:shd w:fill="FFFFFF"/>
          </w:tcPr>
          <w:p>
            <w:pPr>
              <w:spacing w:after="100" w:before="100"/>
            </w:pPr>
            <w:r>
              <w:rPr>
                <w:b w:val="0"/>
                <w:i w:val="0"/>
                <w:sz w:val="18"/>
              </w:rPr>
              <w:t>0.000850657</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40">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IM7/8552-Type Quasi-Isotropic · stored-data layup</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62.27019</w:t>
            </w:r>
          </w:p>
        </w:tc>
        <w:tc>
          <w:tcPr>
            <w:tcW w:type="dxa" w:w="1632"/>
            <w:vAlign w:val="center"/>
            <w:shd w:fill="FFFFFF"/>
          </w:tcPr>
          <w:p>
            <w:pPr>
              <w:spacing w:after="100" w:before="100"/>
            </w:pPr>
            <w:r>
              <w:rPr>
                <w:b w:val="0"/>
                <w:i w:val="0"/>
                <w:sz w:val="18"/>
              </w:rPr>
              <w:t>62.27019</w:t>
            </w:r>
          </w:p>
        </w:tc>
        <w:tc>
          <w:tcPr>
            <w:tcW w:type="dxa" w:w="1632"/>
            <w:vAlign w:val="center"/>
            <w:shd w:fill="FFFFFF"/>
          </w:tcPr>
          <w:p>
            <w:pPr>
              <w:spacing w:after="100" w:before="100"/>
            </w:pPr>
            <w:r>
              <w:rPr>
                <w:b w:val="0"/>
                <w:i w:val="0"/>
                <w:sz w:val="18"/>
              </w:rPr>
              <w:t>5.65262e-06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62.27019</w:t>
            </w:r>
          </w:p>
        </w:tc>
        <w:tc>
          <w:tcPr>
            <w:tcW w:type="dxa" w:w="1632"/>
            <w:vAlign w:val="center"/>
            <w:shd w:fill="FFFFFF"/>
          </w:tcPr>
          <w:p>
            <w:pPr>
              <w:spacing w:after="100" w:before="100"/>
            </w:pPr>
            <w:r>
              <w:rPr>
                <w:b w:val="0"/>
                <w:i w:val="0"/>
                <w:sz w:val="18"/>
              </w:rPr>
              <w:t>62.27019</w:t>
            </w:r>
          </w:p>
        </w:tc>
        <w:tc>
          <w:tcPr>
            <w:tcW w:type="dxa" w:w="1632"/>
            <w:vAlign w:val="center"/>
            <w:shd w:fill="FFFFFF"/>
          </w:tcPr>
          <w:p>
            <w:pPr>
              <w:spacing w:after="100" w:before="100"/>
            </w:pPr>
            <w:r>
              <w:rPr>
                <w:b w:val="0"/>
                <w:i w:val="0"/>
                <w:sz w:val="18"/>
              </w:rPr>
              <w:t>5.65262e-06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23.74812</w:t>
            </w:r>
          </w:p>
        </w:tc>
        <w:tc>
          <w:tcPr>
            <w:tcW w:type="dxa" w:w="1632"/>
            <w:vAlign w:val="center"/>
            <w:shd w:fill="FFFFFF"/>
          </w:tcPr>
          <w:p>
            <w:pPr>
              <w:spacing w:after="100" w:before="100"/>
            </w:pPr>
            <w:r>
              <w:rPr>
                <w:b w:val="0"/>
                <w:i w:val="0"/>
                <w:sz w:val="18"/>
              </w:rPr>
              <w:t>23.74812</w:t>
            </w:r>
          </w:p>
        </w:tc>
        <w:tc>
          <w:tcPr>
            <w:tcW w:type="dxa" w:w="1632"/>
            <w:vAlign w:val="center"/>
            <w:shd w:fill="FFFFFF"/>
          </w:tcPr>
          <w:p>
            <w:pPr>
              <w:spacing w:after="100" w:before="100"/>
            </w:pPr>
            <w:r>
              <w:rPr>
                <w:b w:val="0"/>
                <w:i w:val="0"/>
                <w:sz w:val="18"/>
              </w:rPr>
              <w:t>-7.88882e-06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0.31105</w:t>
            </w:r>
          </w:p>
        </w:tc>
        <w:tc>
          <w:tcPr>
            <w:tcW w:type="dxa" w:w="1632"/>
            <w:vAlign w:val="center"/>
            <w:shd w:fill="FFFFFF"/>
          </w:tcPr>
          <w:p>
            <w:pPr>
              <w:spacing w:after="100" w:before="100"/>
            </w:pPr>
            <w:r>
              <w:rPr>
                <w:b w:val="0"/>
                <w:i w:val="0"/>
                <w:sz w:val="18"/>
              </w:rPr>
              <w:t>0.311055</w:t>
            </w:r>
          </w:p>
        </w:tc>
        <w:tc>
          <w:tcPr>
            <w:tcW w:type="dxa" w:w="1632"/>
            <w:vAlign w:val="center"/>
            <w:shd w:fill="FFFFFF"/>
          </w:tcPr>
          <w:p>
            <w:pPr>
              <w:spacing w:after="100" w:before="100"/>
            </w:pPr>
            <w:r>
              <w:rPr>
                <w:b w:val="0"/>
                <w:i w:val="0"/>
                <w:sz w:val="18"/>
              </w:rPr>
              <w:t>-0.00159819</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41">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Quasi-Isotropic Plate in Uniaxial Tension · resultant response</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51.52598</w:t>
            </w:r>
          </w:p>
        </w:tc>
        <w:tc>
          <w:tcPr>
            <w:tcW w:type="dxa" w:w="1632"/>
            <w:vAlign w:val="center"/>
            <w:shd w:fill="FFFFFF"/>
          </w:tcPr>
          <w:p>
            <w:pPr>
              <w:spacing w:after="100" w:before="100"/>
            </w:pPr>
            <w:r>
              <w:rPr>
                <w:b w:val="0"/>
                <w:i w:val="0"/>
                <w:sz w:val="18"/>
              </w:rPr>
              <w:t>51.52598</w:t>
            </w:r>
          </w:p>
        </w:tc>
        <w:tc>
          <w:tcPr>
            <w:tcW w:type="dxa" w:w="1632"/>
            <w:vAlign w:val="center"/>
            <w:shd w:fill="FFFFFF"/>
          </w:tcPr>
          <w:p>
            <w:pPr>
              <w:spacing w:after="100" w:before="100"/>
            </w:pPr>
            <w:r>
              <w:rPr>
                <w:b w:val="0"/>
                <w:i w:val="0"/>
                <w:sz w:val="18"/>
              </w:rPr>
              <w:t>6.49425e-06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51.52598</w:t>
            </w:r>
          </w:p>
        </w:tc>
        <w:tc>
          <w:tcPr>
            <w:tcW w:type="dxa" w:w="1632"/>
            <w:vAlign w:val="center"/>
            <w:shd w:fill="FFFFFF"/>
          </w:tcPr>
          <w:p>
            <w:pPr>
              <w:spacing w:after="100" w:before="100"/>
            </w:pPr>
            <w:r>
              <w:rPr>
                <w:b w:val="0"/>
                <w:i w:val="0"/>
                <w:sz w:val="18"/>
              </w:rPr>
              <w:t>51.52598</w:t>
            </w:r>
          </w:p>
        </w:tc>
        <w:tc>
          <w:tcPr>
            <w:tcW w:type="dxa" w:w="1632"/>
            <w:vAlign w:val="center"/>
            <w:shd w:fill="FFFFFF"/>
          </w:tcPr>
          <w:p>
            <w:pPr>
              <w:spacing w:after="100" w:before="100"/>
            </w:pPr>
            <w:r>
              <w:rPr>
                <w:b w:val="0"/>
                <w:i w:val="0"/>
                <w:sz w:val="18"/>
              </w:rPr>
              <w:t>6.49425e-06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19.67704</w:t>
            </w:r>
          </w:p>
        </w:tc>
        <w:tc>
          <w:tcPr>
            <w:tcW w:type="dxa" w:w="1632"/>
            <w:vAlign w:val="center"/>
            <w:shd w:fill="FFFFFF"/>
          </w:tcPr>
          <w:p>
            <w:pPr>
              <w:spacing w:after="100" w:before="100"/>
            </w:pPr>
            <w:r>
              <w:rPr>
                <w:b w:val="0"/>
                <w:i w:val="0"/>
                <w:sz w:val="18"/>
              </w:rPr>
              <w:t>19.67704</w:t>
            </w:r>
          </w:p>
        </w:tc>
        <w:tc>
          <w:tcPr>
            <w:tcW w:type="dxa" w:w="1632"/>
            <w:vAlign w:val="center"/>
            <w:shd w:fill="FFFFFF"/>
          </w:tcPr>
          <w:p>
            <w:pPr>
              <w:spacing w:after="100" w:before="100"/>
            </w:pPr>
            <w:r>
              <w:rPr>
                <w:b w:val="0"/>
                <w:i w:val="0"/>
                <w:sz w:val="18"/>
              </w:rPr>
              <w:t>1.95724e-05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0.30929</w:t>
            </w:r>
          </w:p>
        </w:tc>
        <w:tc>
          <w:tcPr>
            <w:tcW w:type="dxa" w:w="1632"/>
            <w:vAlign w:val="center"/>
            <w:shd w:fill="FFFFFF"/>
          </w:tcPr>
          <w:p>
            <w:pPr>
              <w:spacing w:after="100" w:before="100"/>
            </w:pPr>
            <w:r>
              <w:rPr>
                <w:b w:val="0"/>
                <w:i w:val="0"/>
                <w:sz w:val="18"/>
              </w:rPr>
              <w:t>0.3092921</w:t>
            </w:r>
          </w:p>
        </w:tc>
        <w:tc>
          <w:tcPr>
            <w:tcW w:type="dxa" w:w="1632"/>
            <w:vAlign w:val="center"/>
            <w:shd w:fill="FFFFFF"/>
          </w:tcPr>
          <w:p>
            <w:pPr>
              <w:spacing w:after="100" w:before="100"/>
            </w:pPr>
            <w:r>
              <w:rPr>
                <w:b w:val="0"/>
                <w:i w:val="0"/>
                <w:sz w:val="18"/>
              </w:rPr>
              <w:t>-0.000684654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42">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Cross-Ply Plate under Pure Bending · resultant response</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71.74858</w:t>
            </w:r>
          </w:p>
        </w:tc>
        <w:tc>
          <w:tcPr>
            <w:tcW w:type="dxa" w:w="1632"/>
            <w:vAlign w:val="center"/>
            <w:shd w:fill="FFFFFF"/>
          </w:tcPr>
          <w:p>
            <w:pPr>
              <w:spacing w:after="100" w:before="100"/>
            </w:pPr>
            <w:r>
              <w:rPr>
                <w:b w:val="0"/>
                <w:i w:val="0"/>
                <w:sz w:val="18"/>
              </w:rPr>
              <w:t>71.74858</w:t>
            </w:r>
          </w:p>
        </w:tc>
        <w:tc>
          <w:tcPr>
            <w:tcW w:type="dxa" w:w="1632"/>
            <w:vAlign w:val="center"/>
            <w:shd w:fill="FFFFFF"/>
          </w:tcPr>
          <w:p>
            <w:pPr>
              <w:spacing w:after="100" w:before="100"/>
            </w:pPr>
            <w:r>
              <w:rPr>
                <w:b w:val="0"/>
                <w:i w:val="0"/>
                <w:sz w:val="18"/>
              </w:rPr>
              <w:t>1.35602e-06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71.74858</w:t>
            </w:r>
          </w:p>
        </w:tc>
        <w:tc>
          <w:tcPr>
            <w:tcW w:type="dxa" w:w="1632"/>
            <w:vAlign w:val="center"/>
            <w:shd w:fill="FFFFFF"/>
          </w:tcPr>
          <w:p>
            <w:pPr>
              <w:spacing w:after="100" w:before="100"/>
            </w:pPr>
            <w:r>
              <w:rPr>
                <w:b w:val="0"/>
                <w:i w:val="0"/>
                <w:sz w:val="18"/>
              </w:rPr>
              <w:t>71.74858</w:t>
            </w:r>
          </w:p>
        </w:tc>
        <w:tc>
          <w:tcPr>
            <w:tcW w:type="dxa" w:w="1632"/>
            <w:vAlign w:val="center"/>
            <w:shd w:fill="FFFFFF"/>
          </w:tcPr>
          <w:p>
            <w:pPr>
              <w:spacing w:after="100" w:before="100"/>
            </w:pPr>
            <w:r>
              <w:rPr>
                <w:b w:val="0"/>
                <w:i w:val="0"/>
                <w:sz w:val="18"/>
              </w:rPr>
              <w:t>1.35602e-06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4.8</w:t>
            </w:r>
          </w:p>
        </w:tc>
        <w:tc>
          <w:tcPr>
            <w:tcW w:type="dxa" w:w="1632"/>
            <w:vAlign w:val="center"/>
            <w:shd w:fill="FFFFFF"/>
          </w:tcPr>
          <w:p>
            <w:pPr>
              <w:spacing w:after="100" w:before="100"/>
            </w:pPr>
            <w:r>
              <w:rPr>
                <w:b w:val="0"/>
                <w:i w:val="0"/>
                <w:sz w:val="18"/>
              </w:rPr>
              <w:t>4.8</w:t>
            </w:r>
          </w:p>
        </w:tc>
        <w:tc>
          <w:tcPr>
            <w:tcW w:type="dxa" w:w="1632"/>
            <w:vAlign w:val="center"/>
            <w:shd w:fill="FFFFFF"/>
          </w:tcPr>
          <w:p>
            <w:pPr>
              <w:spacing w:after="100" w:before="100"/>
            </w:pPr>
            <w:r>
              <w:rPr>
                <w:b w:val="0"/>
                <w:i w:val="0"/>
                <w:sz w:val="18"/>
              </w:rPr>
              <w:t>-1.85037e-14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0.03821</w:t>
            </w:r>
          </w:p>
        </w:tc>
        <w:tc>
          <w:tcPr>
            <w:tcW w:type="dxa" w:w="1632"/>
            <w:vAlign w:val="center"/>
            <w:shd w:fill="FFFFFF"/>
          </w:tcPr>
          <w:p>
            <w:pPr>
              <w:spacing w:after="100" w:before="100"/>
            </w:pPr>
            <w:r>
              <w:rPr>
                <w:b w:val="0"/>
                <w:i w:val="0"/>
                <w:sz w:val="18"/>
              </w:rPr>
              <w:t>0.03820728</w:t>
            </w:r>
          </w:p>
        </w:tc>
        <w:tc>
          <w:tcPr>
            <w:tcW w:type="dxa" w:w="1632"/>
            <w:vAlign w:val="center"/>
            <w:shd w:fill="FFFFFF"/>
          </w:tcPr>
          <w:p>
            <w:pPr>
              <w:spacing w:after="100" w:before="100"/>
            </w:pPr>
            <w:r>
              <w:rPr>
                <w:b w:val="0"/>
                <w:i w:val="0"/>
                <w:sz w:val="18"/>
              </w:rPr>
              <w:t>0.00711144</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43">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Angle-Ply Plate under Biaxial Load and Shear · resultant response</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17.0109</w:t>
            </w:r>
          </w:p>
        </w:tc>
        <w:tc>
          <w:tcPr>
            <w:tcW w:type="dxa" w:w="1632"/>
            <w:vAlign w:val="center"/>
            <w:shd w:fill="FFFFFF"/>
          </w:tcPr>
          <w:p>
            <w:pPr>
              <w:spacing w:after="100" w:before="100"/>
            </w:pPr>
            <w:r>
              <w:rPr>
                <w:b w:val="0"/>
                <w:i w:val="0"/>
                <w:sz w:val="18"/>
              </w:rPr>
              <w:t>17.0109</w:t>
            </w:r>
          </w:p>
        </w:tc>
        <w:tc>
          <w:tcPr>
            <w:tcW w:type="dxa" w:w="1632"/>
            <w:vAlign w:val="center"/>
            <w:shd w:fill="FFFFFF"/>
          </w:tcPr>
          <w:p>
            <w:pPr>
              <w:spacing w:after="100" w:before="100"/>
            </w:pPr>
            <w:r>
              <w:rPr>
                <w:b w:val="0"/>
                <w:i w:val="0"/>
                <w:sz w:val="18"/>
              </w:rPr>
              <w:t>2.89691e-05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17.0109</w:t>
            </w:r>
          </w:p>
        </w:tc>
        <w:tc>
          <w:tcPr>
            <w:tcW w:type="dxa" w:w="1632"/>
            <w:vAlign w:val="center"/>
            <w:shd w:fill="FFFFFF"/>
          </w:tcPr>
          <w:p>
            <w:pPr>
              <w:spacing w:after="100" w:before="100"/>
            </w:pPr>
            <w:r>
              <w:rPr>
                <w:b w:val="0"/>
                <w:i w:val="0"/>
                <w:sz w:val="18"/>
              </w:rPr>
              <w:t>17.0109</w:t>
            </w:r>
          </w:p>
        </w:tc>
        <w:tc>
          <w:tcPr>
            <w:tcW w:type="dxa" w:w="1632"/>
            <w:vAlign w:val="center"/>
            <w:shd w:fill="FFFFFF"/>
          </w:tcPr>
          <w:p>
            <w:pPr>
              <w:spacing w:after="100" w:before="100"/>
            </w:pPr>
            <w:r>
              <w:rPr>
                <w:b w:val="0"/>
                <w:i w:val="0"/>
                <w:sz w:val="18"/>
              </w:rPr>
              <w:t>2.89691e-05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34.55407</w:t>
            </w:r>
          </w:p>
        </w:tc>
        <w:tc>
          <w:tcPr>
            <w:tcW w:type="dxa" w:w="1632"/>
            <w:vAlign w:val="center"/>
            <w:shd w:fill="FFFFFF"/>
          </w:tcPr>
          <w:p>
            <w:pPr>
              <w:spacing w:after="100" w:before="100"/>
            </w:pPr>
            <w:r>
              <w:rPr>
                <w:b w:val="0"/>
                <w:i w:val="0"/>
                <w:sz w:val="18"/>
              </w:rPr>
              <w:t>34.55407</w:t>
            </w:r>
          </w:p>
        </w:tc>
        <w:tc>
          <w:tcPr>
            <w:tcW w:type="dxa" w:w="1632"/>
            <w:vAlign w:val="center"/>
            <w:shd w:fill="FFFFFF"/>
          </w:tcPr>
          <w:p>
            <w:pPr>
              <w:spacing w:after="100" w:before="100"/>
            </w:pPr>
            <w:r>
              <w:rPr>
                <w:b w:val="0"/>
                <w:i w:val="0"/>
                <w:sz w:val="18"/>
              </w:rPr>
              <w:t>-6.6489e-06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0.77197</w:t>
            </w:r>
          </w:p>
        </w:tc>
        <w:tc>
          <w:tcPr>
            <w:tcW w:type="dxa" w:w="1632"/>
            <w:vAlign w:val="center"/>
            <w:shd w:fill="FFFFFF"/>
          </w:tcPr>
          <w:p>
            <w:pPr>
              <w:spacing w:after="100" w:before="100"/>
            </w:pPr>
            <w:r>
              <w:rPr>
                <w:b w:val="0"/>
                <w:i w:val="0"/>
                <w:sz w:val="18"/>
              </w:rPr>
              <w:t>0.7719682</w:t>
            </w:r>
          </w:p>
        </w:tc>
        <w:tc>
          <w:tcPr>
            <w:tcW w:type="dxa" w:w="1632"/>
            <w:vAlign w:val="center"/>
            <w:shd w:fill="FFFFFF"/>
          </w:tcPr>
          <w:p>
            <w:pPr>
              <w:spacing w:after="100" w:before="100"/>
            </w:pPr>
            <w:r>
              <w:rPr>
                <w:b w:val="0"/>
                <w:i w:val="0"/>
                <w:sz w:val="18"/>
              </w:rPr>
              <w:t>0.000228419</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Stored original ply properties; original homogenization and failure-model selections are not rerun. Maximum-stress screening uses original teaching strengths, not qualified allowables. Linear CLT resultants only: no grip/edge boundary layers, buckling, delamination, progressive growth or process coupling. Completion is not validation or a physical pass.</w:t>
      </w:r>
    </w:p>
    <w:p>
      <w:pPr/>
      <w:hyperlink r:id="rId144">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FSDT plate bending: thin-to-thick comparison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FSDT module regression checks cover independent analytical plate solutions and refinement. This particular exercise has not received a full quantitative benchmark badge; do not inherit a CLT-only pass for its FSDT fields.</w:t>
      </w:r>
    </w:p>
    <w:p>
      <w:pPr>
        <w:pStyle w:val="Heading3"/>
      </w:pPr>
      <w:r>
        <w:t>Tested inputs</w:t>
      </w:r>
    </w:p>
    <w:p>
      <w:pPr>
        <w:pStyle w:val="ListBullet"/>
      </w:pPr>
      <w:r>
        <w:rPr>
          <w:b w:val="0"/>
          <w:i w:val="0"/>
        </w:rPr>
        <w:t>Reference-elastic symmetric rectangular FSDT plate. Idealized teaching data, no calibrated material/strength claim. No thermal/moisture preload, thickness stretch, contact, debonding, damage or postbuckling. Directional energy-equivalent shear correction is an approximation; refine numerical order and compare published solutions.</w:t>
      </w:r>
    </w:p>
    <w:p>
      <w:pPr/>
      <w:hyperlink r:id="rId145">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FSDT cross-ply plate: buckling and natural frequencies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FSDT module regression checks cover independent analytical plate solutions and refinement. This particular exercise has not received a full quantitative benchmark badge; do not inherit a CLT-only pass for its FSDT fields.</w:t>
      </w:r>
    </w:p>
    <w:p>
      <w:pPr>
        <w:pStyle w:val="Heading3"/>
      </w:pPr>
      <w:r>
        <w:t>Tested inputs</w:t>
      </w:r>
    </w:p>
    <w:p>
      <w:pPr>
        <w:pStyle w:val="ListBullet"/>
      </w:pPr>
      <w:r>
        <w:rPr>
          <w:b w:val="0"/>
          <w:i w:val="0"/>
        </w:rPr>
        <w:t>Reference-elastic symmetric rectangular FSDT plate. Idealized teaching data, no calibrated material/strength claim. No thermal/moisture preload, thickness stretch, contact, debonding, damage or postbuckling. Directional energy-equivalent shear correction is an approximation; refine numerical order and compare published solutions.</w:t>
      </w:r>
    </w:p>
    <w:p>
      <w:pPr/>
      <w:hyperlink r:id="rId146">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FSDT soft-core plate: shear-dominated bending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FSDT module regression checks cover independent analytical plate solutions and refinement. This particular exercise has not received a full quantitative benchmark badge; do not inherit a CLT-only pass for its FSDT fields.</w:t>
      </w:r>
    </w:p>
    <w:p>
      <w:pPr>
        <w:pStyle w:val="Heading3"/>
      </w:pPr>
      <w:r>
        <w:t>Tested inputs</w:t>
      </w:r>
    </w:p>
    <w:p>
      <w:pPr>
        <w:pStyle w:val="ListBullet"/>
      </w:pPr>
      <w:r>
        <w:rPr>
          <w:b w:val="0"/>
          <w:i w:val="0"/>
        </w:rPr>
        <w:t>Reference-elastic symmetric rectangular FSDT plate. Idealized teaching data, no calibrated material/strength claim. No thermal/moisture preload, thickness stretch, contact, debonding, damage or postbuckling. Directional energy-equivalent shear correction is an approximation; refine numerical order and compare published solutions.</w:t>
      </w:r>
    </w:p>
    <w:p>
      <w:pPr/>
      <w:hyperlink r:id="rId147">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Sandwich FSDT: clamped panel bending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FSDT module regression checks cover independent analytical plate solutions and refinement. This particular exercise has not received a full quantitative benchmark badge; do not inherit a CLT-only pass for its FSDT fields.</w:t>
      </w:r>
    </w:p>
    <w:p>
      <w:pPr>
        <w:pStyle w:val="Heading3"/>
      </w:pPr>
      <w:r>
        <w:t>Tested inputs</w:t>
      </w:r>
    </w:p>
    <w:p>
      <w:pPr>
        <w:pStyle w:val="ListBullet"/>
      </w:pPr>
      <w:r>
        <w:rPr>
          <w:b w:val="0"/>
          <w:i w:val="0"/>
        </w:rPr>
        <w:t>Reference-elastic symmetric rectangular FSDT plate. Idealized teaching data, no calibrated material/strength claim. No thermal/moisture preload, thickness stretch, contact, debonding, damage or postbuckling. Directional energy-equivalent shear correction is an approximation; refine numerical order and compare published solutions.</w:t>
      </w:r>
    </w:p>
    <w:p>
      <w:pPr/>
      <w:hyperlink r:id="rId148">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Sandwich FSDT: biaxial compression buckling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FSDT module regression checks cover independent analytical plate solutions and refinement. This particular exercise has not received a full quantitative benchmark badge; do not inherit a CLT-only pass for its FSDT fields.</w:t>
      </w:r>
    </w:p>
    <w:p>
      <w:pPr>
        <w:pStyle w:val="Heading3"/>
      </w:pPr>
      <w:r>
        <w:t>Tested inputs</w:t>
      </w:r>
    </w:p>
    <w:p>
      <w:pPr>
        <w:pStyle w:val="ListBullet"/>
      </w:pPr>
      <w:r>
        <w:rPr>
          <w:b w:val="0"/>
          <w:i w:val="0"/>
        </w:rPr>
        <w:t>Reference-elastic symmetric rectangular FSDT plate. Idealized teaching data, no calibrated material/strength claim. No thermal/moisture preload, thickness stretch, contact, debonding, damage or postbuckling. Directional energy-equivalent shear correction is an approximation; refine numerical order and compare published solutions.</w:t>
      </w:r>
    </w:p>
    <w:p>
      <w:pPr/>
      <w:hyperlink r:id="rId149">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Sandwich FSDT: directional-core natural frequencies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FSDT module regression checks cover independent analytical plate solutions and refinement. This particular exercise has not received a full quantitative benchmark badge; do not inherit a CLT-only pass for its FSDT fields.</w:t>
      </w:r>
    </w:p>
    <w:p>
      <w:pPr>
        <w:pStyle w:val="Heading3"/>
      </w:pPr>
      <w:r>
        <w:t>Tested inputs</w:t>
      </w:r>
    </w:p>
    <w:p>
      <w:pPr>
        <w:pStyle w:val="ListBullet"/>
      </w:pPr>
      <w:r>
        <w:rPr>
          <w:b w:val="0"/>
          <w:i w:val="0"/>
        </w:rPr>
        <w:t>Reference-elastic symmetric rectangular FSDT plate. Idealized teaching data, no calibrated material/strength claim. No thermal/moisture preload, thickness stretch, contact, debonding, damage or postbuckling. Directional energy-equivalent shear correction is an approximation; refine numerical order and compare published solutions.</w:t>
      </w:r>
    </w:p>
    <w:p>
      <w:pPr/>
      <w:hyperlink r:id="rId150">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D6641 · Compression coupon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Uniform small-strain compression using linked laminate Ex and thickness. Measured compressive strength supplies a screening ratio; fixture, tabs, buckling and failure evolution are not simulated.</w:t>
      </w:r>
    </w:p>
    <w:p>
      <w:pPr/>
      <w:hyperlink r:id="rId151">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D5379 / D7078 · Shear coupon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Uniform nominal shear between notches using linked laminate Gxy and thickness. Not a notch/fixture stress field or nonlinear shear solution. Gauge length is the effective shear deformation length, not crosshead travel.</w:t>
      </w:r>
    </w:p>
    <w:p>
      <w:pPr/>
      <w:hyperlink r:id="rId152">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D5528 · DCB opening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Ideal Euler–Bernoulli DCB with equal homogeneous 0° arms, each half the linked laminate thickness. No root rotation, shear, large displacement or cohesive growth. Critical load is an initiation estimate from supplied GIc.</w:t>
      </w:r>
    </w:p>
    <w:p>
      <w:pPr/>
      <w:hyperlink r:id="rId153">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D7905 · ENF sliding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Ideal equal-arm, homogeneous 0° ENF beam; support span is twice the half-span. Crack must be shorter than the half-span. No shear/root correction or unstable crack growth. GIIc is supplied, not fitted automatically.</w:t>
      </w:r>
    </w:p>
    <w:p>
      <w:pPr/>
      <w:hyperlink r:id="rId154">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D6671 · Mixed-mode fracture envelope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Benzeggagh–Kenane envelope from calibrated GIc, GIIc and exponent. Supplied GI/GII are energy-release rates from a separate test reduction or analysis. This does not resolve the MMB lever fixture or propagate a crack.</w:t>
      </w:r>
    </w:p>
    <w:p>
      <w:pPr/>
      <w:hyperlink r:id="rId155">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D5229 · Moisture uptake calibration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Homogeneous slab, initially dry, both faces held at equilibrium moisture. Fits diffusivity from two early uptake measurements (both ≤50% saturation) using the square-root-time approximation. Edge ingress and temperature dependence are excluded. Does not overwrite material properties.</w:t>
      </w:r>
    </w:p>
    <w:p>
      <w:pPr/>
      <w:hyperlink r:id="rId156">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D5961 · Bearing / bypass screening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Single-pin nominal bearing, net-section and shear-out checks with independent measured allowables. Bypass tension is added to net-section load only. No contact, bolt preload, load redistribution or validated bearing–bypass interaction envelope.</w:t>
      </w:r>
    </w:p>
    <w:p>
      <w:pPr/>
      <w:hyperlink r:id="rId157">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D6484 · Open-hole compression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Nominal gross/net stress and demand relative to measured open-hole compressive strength for this geometry and layup. This is test-data screening, not an uncalibrated notch-strength prediction. No local buckling or kink-band simulation.</w:t>
      </w:r>
    </w:p>
    <w:p>
      <w:pPr/>
      <w:hyperlink r:id="rId158">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D6742 · Filled-hole comparison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Compares user-measured open- and filled-hole compressive strengths using gross-section stress. Use matched layup, hole, environment and fastener condition. Filling a hole does not automatically recover strength; no fastener contact/preload model is applied.</w:t>
      </w:r>
    </w:p>
    <w:p>
      <w:pPr/>
      <w:hyperlink r:id="rId159">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D7136 / D7137 · Impact &amp; CAI assessment</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Incident energy from measured impact velocity; residual compressive strength from measured peak CAI force. Rebound energy estimates energy not returned to the striker, NOT damage energy. No impact/contact solver, damage-area prediction or energy-to-strength extrapolation.</w:t>
      </w:r>
    </w:p>
    <w:p>
      <w:pPr/>
      <w:hyperlink r:id="rId160">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Wiener series and parallel</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Positive lossless dielectric bounds; complex directional estimates. Positive-permittivity, passive, nonmagnetic RF screening only. This separate study uses explicit EM inputs, not mechanical or cure properties. Illustrative defaults are not measured T700 properties.</w:t>
      </w:r>
    </w:p>
    <w:p>
      <w:pPr/>
      <w:hyperlink r:id="rId161">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Looyenga / Landau–Lifshitz–Looyenga</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One cube-root mixing law, not two independent models. Positive-permittivity, passive, nonmagnetic RF screening only. This separate study uses explicit EM inputs, not mechanical or cure properties. Illustrative defaults are not measured T700 properties.</w:t>
      </w:r>
    </w:p>
    <w:p>
      <w:pPr/>
      <w:hyperlink r:id="rId162">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Maxwell–Garnett</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Dilute subwavelength spherical inclusions in a host. Positive-permittivity, passive, nonmagnetic RF screening only. This separate study uses explicit EM inputs, not mechanical or cure properties. Illustrative defaults are not measured T700 properties.</w:t>
      </w:r>
    </w:p>
    <w:p>
      <w:pPr/>
      <w:hyperlink r:id="rId163">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Normal-incidence laminate TMM</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Coherent isotropic nonmagnetic layers between air half-spaces. Positive-permittivity, passive, nonmagnetic RF screening only. This separate study uses explicit EM inputs, not mechanical or cure properties. Illustrative defaults are not measured T700 properties.</w:t>
      </w:r>
    </w:p>
    <w:p>
      <w:pPr/>
      <w:hyperlink r:id="rId164">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Bruggeman symmetric EMT</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Two positive-permittivity phases; no explicit contact network. Positive-permittivity, passive, nonmagnetic RF screening only. This separate study uses explicit EM inputs, not mechanical or cure properties. Illustrative defaults are not measured T700 properties.</w:t>
      </w:r>
    </w:p>
    <w:p>
      <w:pPr/>
      <w:hyperlink r:id="rId165">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EM Mori–Tanaka</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Scalar principal-axis ellipsoidal field approximation. Positive-permittivity, passive, nonmagnetic RF screening only. This separate study uses explicit EM inputs, not mechanical or cure properties. Illustrative defaults are not measured T700 properties.</w:t>
      </w:r>
    </w:p>
    <w:p>
      <w:pPr/>
      <w:hyperlink r:id="rId166">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EM self-consistent</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Scalar principal-axis self-consistency; spherical case equals Bruggeman. Positive-permittivity, passive, nonmagnetic RF screening only. This separate study uses explicit EM inputs, not mechanical or cure properties. Illustrative defaults are not measured T700 properties.</w:t>
      </w:r>
    </w:p>
    <w:p>
      <w:pPr/>
      <w:hyperlink r:id="rId167">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Differential effective medium</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Incremental mixing with time-step refinement check. Positive-permittivity, passive, nonmagnetic RF screening only. This separate study uses explicit EM inputs, not mechanical or cure properties. Illustrative defaults are not measured T700 properties.</w:t>
      </w:r>
    </w:p>
    <w:p>
      <w:pPr/>
      <w:hyperlink r:id="rId168">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Coated sphere and interphase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Concentric subwavelength coated spheres; no dynamic Mie scattering. Positive-permittivity, passive, nonmagnetic RF screening only. This separate study uses explicit EM inputs, not mechanical or cure properties. Illustrative defaults are not measured T700 properties.</w:t>
      </w:r>
    </w:p>
    <w:p>
      <w:pPr/>
      <w:hyperlink r:id="rId169">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Generalized multiphase EMT</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Spherical multiphase Bruggeman with convergence checks. Positive-permittivity, passive, nonmagnetic RF screening only. This separate study uses explicit EM inputs, not mechanical or cure properties. Illustrative defaults are not measured T700 properties.</w:t>
      </w:r>
    </w:p>
    <w:p>
      <w:pPr/>
      <w:hyperlink r:id="rId170">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Oblique polarized laminate TMM</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TE or TM waves; scalar isotropic layers, no polarization conversion. Positive-permittivity, passive, nonmagnetic RF screening only. This separate study uses explicit EM inputs, not mechanical or cure properties. Illustrative defaults are not measured T700 properties.</w:t>
      </w:r>
    </w:p>
    <w:p>
      <w:pPr/>
      <w:hyperlink r:id="rId171">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1D transmission line matrix</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Normal-incidence lossless delay-line mesh with pulse decay, energy and mesh-refinement safeguards. Explicit Run required; not a 3D solver. Positive-permittivity, passive, nonmagnetic RF screening only. This separate study uses explicit EM inputs, not mechanical or cure properties. Illustrative defaults are not measured T700 properties.</w:t>
      </w:r>
    </w:p>
    <w:p>
      <w:pPr/>
      <w:hyperlink r:id="rId172">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1D Floquet–Bloch periodic layers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Explicit dielectric teaching inputs. Mechanical laminate properties are not used in this separate RF study.</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Lossless isotropic A/B unit-cell eigenvalues, folded Bloch phase and stop-band attenuation at normal incidence. Not arbitrary-cell homogenization. Positive-permittivity, passive, nonmagnetic RF screening only. This separate study uses explicit EM inputs, not mechanical or cure properties. Illustrative defaults are not measured T700 properties.</w:t>
      </w:r>
    </w:p>
    <w:p>
      <w:pPr/>
      <w:hyperlink r:id="rId173">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Open-hole strength</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Infinite-width, specially orthotropic tension screening. Point and average stress distances must be calibrated independently for this laminate. Not compression, bearing or a joint allowable.</w:t>
      </w:r>
    </w:p>
    <w:p>
      <w:pPr/>
      <w:hyperlink r:id="rId174">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Creep &amp; stress relaxation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Linear uniaxial response at the calibration temperature. Reference Ex is the instantaneous modulus. Three Maxwell branches; creep is solved from stress equilibrium, not the reciprocal relaxation modulus. No thermal shifting or nonlinear creep.</w:t>
      </w:r>
    </w:p>
    <w:p>
      <w:pPr/>
      <w:hyperlink r:id="rId175">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Analytical bonded joint</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Identical equivalent-elastic adherends, long free arms and a thin elastic adhesive. Compare shear-only Volkersen with eccentric single-lap shear and peel. Not a debonding, plasticity or strength calculation.</w:t>
      </w:r>
    </w:p>
    <w:p>
      <w:pPr/>
      <w:hyperlink r:id="rId176">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LaRC04 failure initiation</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NASA LaRC04 linear-shear specialization, evaluated at both faces of every ply under membrane and bending loads. Supplied ply strengths are effective/in-situ values; no automatic thin-ply enhancement. Initiation only, not degradation or nonlinear-shear instability.</w:t>
      </w:r>
    </w:p>
    <w:p>
      <w:pPr/>
      <w:hyperlink r:id="rId177">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Tool-release shape</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Free CLT release from prescribed ply-local shrinkage/thermal eigenstrains. Corner spring-in is a separate uniform-strain estimate. Stress-free temperature and effective post-gel shrinkage need calibration. No tool friction, cure kinetics or viscoelastic restraint history.</w:t>
      </w:r>
    </w:p>
    <w:p>
      <w:pPr/>
      <w:hyperlink r:id="rId178">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Fatigue residual properties</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Prescribed power-law retention fitted to constant-amplitude tests at a fixed stress ratio, amplitude and temperature. Stiffness and strength have independent coefficients. S–N life alone cannot calibrate either. Does not modify the saved laminate.</w:t>
      </w:r>
    </w:p>
    <w:p>
      <w:pPr/>
      <w:hyperlink r:id="rId179">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Cylinder buckling</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Simply supported, thin, specially orthotropic cylinder under uniform axial compression. Discrete Donnell modes; prescribed knockdown factor explores imperfection sensitivity, not a prediction from measured imperfection amplitude. No pressure, torsion, postbuckling or strength pass.</w:t>
      </w:r>
    </w:p>
    <w:p>
      <w:pPr/>
      <w:hyperlink r:id="rId180">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Uncertainty &amp; sensitivity</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Illustrative calibration only. Start with a 16-ply cross-ply reference laminate; this is a separate, reference-state study.</w:t>
      </w:r>
    </w:p>
    <w:p>
      <w:pPr>
        <w:pStyle w:val="ListBullet"/>
      </w:pPr>
      <w:hyperlink r:id="rId91">
        <w:r>
          <w:rPr>
            <w:color w:val="176EA4"/>
          </w:rPr>
          <w:t>NASA/TM—2014-216635 — Engineered Polymer Composites Through Electrospun Nanofiber Coating of Fiber Tows </w:t>
        </w:r>
      </w:hyperlink>
      <w:r>
        <w:t xml:space="preserve"> </w:t>
      </w:r>
      <w:r>
        <w:rPr>
          <w:b w:val="0"/>
          <w:i w:val="0"/>
        </w:rPr>
        <w:t>Tables 1–2, printed pages 11–12 / PDF pages 15–16</w:t>
      </w:r>
      <w:r>
        <w:rPr>
          <w:b w:val="0"/>
          <w:i w:val="0"/>
        </w:rPr>
        <w:t xml:space="preserve"> </w:t>
      </w:r>
      <w:r>
        <w:rPr>
          <w:b w:val="0"/>
          <w:i w:val="0"/>
        </w:rPr>
        <w:t xml:space="preserve">. </w:t>
      </w:r>
      <w:r>
        <w:rPr>
          <w:b w:val="0"/>
          <w:i w:val="0"/>
        </w:rPr>
        <w:t xml:space="preserve"> </w:t>
      </w:r>
      <w:r>
        <w:rPr>
          <w:b w:val="0"/>
          <w:i w:val="0"/>
        </w:rPr>
        <w:t>Published estimated ply inputs and CLPT tube properties, not qualified or experimentally validated strengths.</w:t>
      </w:r>
      <w:r>
        <w:t xml:space="preserve"> </w:t>
      </w:r>
    </w:p>
    <w:p>
      <w:pPr>
        <w:pStyle w:val="Heading3"/>
      </w:pPr>
      <w:r>
        <w:t>Tested inputs</w:t>
      </w:r>
    </w:p>
    <w:p>
      <w:pPr>
        <w:pStyle w:val="ListBullet"/>
      </w:pPr>
      <w:r>
        <w:rPr>
          <w:b w:val="0"/>
          <w:i w:val="0"/>
        </w:rPr>
        <w:t>Seeded independent uniform sampling of shared modulus, ply-thickness and angle offsets. Recomputes laminate ABD for each sample. Bounds are assumptions, not measured distributions. Percentiles and sensitivity are exploratory, not reliability certification.</w:t>
      </w:r>
    </w:p>
    <w:p>
      <w:pPr/>
      <w:hyperlink r:id="rId181">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Micro optimization: stiffness, voids and density</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1.71373e-06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51.01956</w:t>
            </w:r>
          </w:p>
        </w:tc>
        <w:tc>
          <w:tcPr>
            <w:tcW w:type="dxa" w:w="1632"/>
            <w:vAlign w:val="center"/>
            <w:shd w:fill="FFFFFF"/>
          </w:tcPr>
          <w:p>
            <w:pPr>
              <w:spacing w:after="100" w:before="100"/>
            </w:pPr>
            <w:r>
              <w:rPr>
                <w:b w:val="0"/>
                <w:i w:val="0"/>
                <w:sz w:val="18"/>
              </w:rPr>
              <w:t>1.71373e-06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19.35659</w:t>
            </w:r>
          </w:p>
        </w:tc>
        <w:tc>
          <w:tcPr>
            <w:tcW w:type="dxa" w:w="1632"/>
            <w:vAlign w:val="center"/>
            <w:shd w:fill="FFFFFF"/>
          </w:tcPr>
          <w:p>
            <w:pPr>
              <w:spacing w:after="100" w:before="100"/>
            </w:pPr>
            <w:r>
              <w:rPr>
                <w:b w:val="0"/>
                <w:i w:val="0"/>
                <w:sz w:val="18"/>
              </w:rPr>
              <w:t>19.35659</w:t>
            </w:r>
          </w:p>
        </w:tc>
        <w:tc>
          <w:tcPr>
            <w:tcW w:type="dxa" w:w="1632"/>
            <w:vAlign w:val="center"/>
            <w:shd w:fill="FFFFFF"/>
          </w:tcPr>
          <w:p>
            <w:pPr>
              <w:spacing w:after="100" w:before="100"/>
            </w:pPr>
            <w:r>
              <w:rPr>
                <w:b w:val="0"/>
                <w:i w:val="0"/>
                <w:sz w:val="18"/>
              </w:rPr>
              <w:t>-2.84568e-06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0.31789</w:t>
            </w:r>
          </w:p>
        </w:tc>
        <w:tc>
          <w:tcPr>
            <w:tcW w:type="dxa" w:w="1632"/>
            <w:vAlign w:val="center"/>
            <w:shd w:fill="FFFFFF"/>
          </w:tcPr>
          <w:p>
            <w:pPr>
              <w:spacing w:after="100" w:before="100"/>
            </w:pPr>
            <w:r>
              <w:rPr>
                <w:b w:val="0"/>
                <w:i w:val="0"/>
                <w:sz w:val="18"/>
              </w:rPr>
              <w:t>0.317886</w:t>
            </w:r>
          </w:p>
        </w:tc>
        <w:tc>
          <w:tcPr>
            <w:tcW w:type="dxa" w:w="1632"/>
            <w:vAlign w:val="center"/>
            <w:shd w:fill="FFFFFF"/>
          </w:tcPr>
          <w:p>
            <w:pPr>
              <w:spacing w:after="100" w:before="100"/>
            </w:pPr>
            <w:r>
              <w:rPr>
                <w:b w:val="0"/>
                <w:i w:val="0"/>
                <w:sz w:val="18"/>
              </w:rPr>
              <w:t>0.00126045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E1</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139.38</w:t>
            </w:r>
          </w:p>
        </w:tc>
        <w:tc>
          <w:tcPr>
            <w:tcW w:type="dxa" w:w="1632"/>
            <w:vAlign w:val="center"/>
            <w:shd w:fill="FFFFFF"/>
          </w:tcPr>
          <w:p>
            <w:pPr>
              <w:spacing w:after="100" w:before="100"/>
            </w:pPr>
            <w:r>
              <w:rPr>
                <w:b w:val="0"/>
                <w:i w:val="0"/>
                <w:sz w:val="18"/>
              </w:rPr>
              <w:t>139.38</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E2</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6.41264</w:t>
            </w:r>
          </w:p>
        </w:tc>
        <w:tc>
          <w:tcPr>
            <w:tcW w:type="dxa" w:w="1632"/>
            <w:vAlign w:val="center"/>
            <w:shd w:fill="FFFFFF"/>
          </w:tcPr>
          <w:p>
            <w:pPr>
              <w:spacing w:after="100" w:before="100"/>
            </w:pPr>
            <w:r>
              <w:rPr>
                <w:b w:val="0"/>
                <w:i w:val="0"/>
                <w:sz w:val="18"/>
              </w:rPr>
              <w:t>6.412639</w:t>
            </w:r>
          </w:p>
        </w:tc>
        <w:tc>
          <w:tcPr>
            <w:tcW w:type="dxa" w:w="1632"/>
            <w:vAlign w:val="center"/>
            <w:shd w:fill="FFFFFF"/>
          </w:tcPr>
          <w:p>
            <w:pPr>
              <w:spacing w:after="100" w:before="100"/>
            </w:pPr>
            <w:r>
              <w:rPr>
                <w:b w:val="0"/>
                <w:i w:val="0"/>
                <w:sz w:val="18"/>
              </w:rPr>
              <w:t>9.27536e-06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G12</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2.98755</w:t>
            </w:r>
          </w:p>
        </w:tc>
        <w:tc>
          <w:tcPr>
            <w:tcW w:type="dxa" w:w="1632"/>
            <w:vAlign w:val="center"/>
            <w:shd w:fill="FFFFFF"/>
          </w:tcPr>
          <w:p>
            <w:pPr>
              <w:spacing w:after="100" w:before="100"/>
            </w:pPr>
            <w:r>
              <w:rPr>
                <w:b w:val="0"/>
                <w:i w:val="0"/>
                <w:sz w:val="18"/>
              </w:rPr>
              <w:t>2.987552</w:t>
            </w:r>
          </w:p>
        </w:tc>
        <w:tc>
          <w:tcPr>
            <w:tcW w:type="dxa" w:w="1632"/>
            <w:vAlign w:val="center"/>
            <w:shd w:fill="FFFFFF"/>
          </w:tcPr>
          <w:p>
            <w:pPr>
              <w:spacing w:after="100" w:before="100"/>
            </w:pPr>
            <w:r>
              <w:rPr>
                <w:b w:val="0"/>
                <w:i w:val="0"/>
                <w:sz w:val="18"/>
              </w:rPr>
              <w:t>-0.0000625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Micro ν12</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0.26</w:t>
            </w:r>
          </w:p>
        </w:tc>
        <w:tc>
          <w:tcPr>
            <w:tcW w:type="dxa" w:w="1632"/>
            <w:vAlign w:val="center"/>
            <w:shd w:fill="FFFFFF"/>
          </w:tcPr>
          <w:p>
            <w:pPr>
              <w:spacing w:after="100" w:before="100"/>
            </w:pPr>
            <w:r>
              <w:rPr>
                <w:b w:val="0"/>
                <w:i w:val="0"/>
                <w:sz w:val="18"/>
              </w:rPr>
              <w:t>0.26</w:t>
            </w:r>
          </w:p>
        </w:tc>
        <w:tc>
          <w:tcPr>
            <w:tcW w:type="dxa" w:w="1632"/>
            <w:vAlign w:val="center"/>
            <w:shd w:fill="FFFFFF"/>
          </w:tcPr>
          <w:p>
            <w:pPr>
              <w:spacing w:after="100" w:before="100"/>
            </w:pPr>
            <w:r>
              <w:rPr>
                <w:b w:val="0"/>
                <w:i w:val="0"/>
                <w:sz w:val="18"/>
              </w:rPr>
              <w:t>0</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ListBullet"/>
      </w:pPr>
      <w:hyperlink r:id="rId76">
        <w:r>
          <w:rPr>
            <w:color w:val="176EA4"/>
          </w:rPr>
          <w:t>MIT / David Roylance — Introduction to Composites </w:t>
        </w:r>
      </w:hyperlink>
      <w:r>
        <w:t xml:space="preserve"> </w:t>
      </w:r>
      <w:r>
        <w:rPr>
          <w:b w:val="0"/>
          <w:i w:val="0"/>
        </w:rPr>
        <w:t>Equations 1–3, printed pages 3–4</w:t>
      </w:r>
      <w:r>
        <w:rPr>
          <w:b w:val="0"/>
          <w:i w:val="0"/>
        </w:rPr>
        <w:t xml:space="preserve"> </w:t>
      </w:r>
      <w:r>
        <w:rPr>
          <w:b w:val="0"/>
          <w:i w:val="0"/>
        </w:rPr>
        <w:t xml:space="preserve">. </w:t>
      </w:r>
      <w:r>
        <w:rPr>
          <w:b w:val="0"/>
          <w:i w:val="0"/>
        </w:rPr>
        <w:t xml:space="preserve"> </w:t>
      </w:r>
      <w:r>
        <w:rPr>
          <w:b w:val="0"/>
          <w:i w:val="0"/>
        </w:rPr>
        <w:t>Published analytical equations; not experimental material validation.</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Guided optimization case study using shared database records. Configure the documented search in Optimize, then save its results and inputs. No precomputed optimum or benchmark-validation claim. Ideal continuous, aligned reinforcement with zero voids. This is a teaching comparison, not a measured material allowable.</w:t>
      </w:r>
    </w:p>
    <w:p>
      <w:pPr/>
      <w:hyperlink r:id="rId182">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Laminate optimization: minimum mass under axial loading</w:t>
      </w:r>
      <w:r>
        <w:rPr>
          <w:b/>
          <w:i w:val="0"/>
        </w:rPr>
        <w:t xml:space="preserve"> </w:t>
      </w:r>
      <w:r>
        <w:rPr>
          <w:b/>
          <w:i w:val="0"/>
        </w:rPr>
        <w:t xml:space="preserve"> — </w:t>
      </w:r>
      <w:r>
        <w:rPr>
          <w:b/>
          <w:i w:val="0"/>
        </w:rPr>
        <w:t xml:space="preserve"> </w:t>
      </w:r>
      <w:r>
        <w:rPr>
          <w:b/>
          <w:i w:val="0"/>
        </w:rPr>
        <w:t>Benchmark validated — analytical scope</w:t>
      </w:r>
    </w:p>
    <w:p>
      <w:pPr>
        <w:pStyle w:val="Heading3"/>
      </w:pPr>
      <w:r>
        <w:t>Reference validation 2026-09-18</w:t>
      </w:r>
    </w:p>
    <w:p>
      <w:pPr>
        <w:keepNext/>
      </w:pPr>
      <w:r>
        <w:rPr>
          <w:b/>
          <w:i w:val="0"/>
        </w:rPr>
        <w:t>Benchmark validated — analytical scope</w:t>
      </w:r>
    </w:p>
    <w:p>
      <w:pPr/>
      <w:r>
        <w:rPr>
          <w:b w:val="0"/>
          <w:i w:val="0"/>
        </w:rPr>
        <w:t>Listed reference-elastic extensional constants only; free curvature, ply stresses, strength and every user variation are outside this badge.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32"/>
        <w:gridCol w:w="1632"/>
        <w:gridCol w:w="1632"/>
        <w:gridCol w:w="1632"/>
        <w:gridCol w:w="1632"/>
        <w:gridCol w:w="1632"/>
      </w:tblGrid>
      <w:tr>
        <w:trPr>
          <w:cantSplit/>
          <w:tblHeader/>
        </w:trPr>
        <w:tc>
          <w:tcPr>
            <w:tcW w:type="dxa" w:w="1632"/>
            <w:vAlign w:val="center"/>
            <w:shd w:fill="E7EDF3"/>
          </w:tcPr>
          <w:p>
            <w:pPr>
              <w:keepNext/>
              <w:spacing w:after="100" w:before="100"/>
            </w:pPr>
            <w:r>
              <w:rPr>
                <w:b/>
                <w:i w:val="0"/>
                <w:sz w:val="18"/>
              </w:rPr>
              <w:t>Quantity</w:t>
            </w:r>
          </w:p>
        </w:tc>
        <w:tc>
          <w:tcPr>
            <w:tcW w:type="dxa" w:w="1632"/>
            <w:vAlign w:val="center"/>
            <w:shd w:fill="E7EDF3"/>
          </w:tcPr>
          <w:p>
            <w:pPr>
              <w:keepNext/>
              <w:spacing w:after="100" w:before="100"/>
            </w:pPr>
            <w:r>
              <w:rPr>
                <w:b/>
                <w:i w:val="0"/>
                <w:sz w:val="18"/>
              </w:rPr>
              <w:t>CDS</w:t>
            </w:r>
          </w:p>
        </w:tc>
        <w:tc>
          <w:tcPr>
            <w:tcW w:type="dxa" w:w="1632"/>
            <w:vAlign w:val="center"/>
            <w:shd w:fill="E7EDF3"/>
          </w:tcPr>
          <w:p>
            <w:pPr>
              <w:keepNext/>
              <w:spacing w:after="100" w:before="100"/>
            </w:pPr>
            <w:r>
              <w:rPr>
                <w:b/>
                <w:i w:val="0"/>
                <w:sz w:val="18"/>
              </w:rPr>
              <w:t>Reference</w:t>
            </w:r>
          </w:p>
        </w:tc>
        <w:tc>
          <w:tcPr>
            <w:tcW w:type="dxa" w:w="1632"/>
            <w:vAlign w:val="center"/>
            <w:shd w:fill="E7EDF3"/>
          </w:tcPr>
          <w:p>
            <w:pPr>
              <w:keepNext/>
              <w:spacing w:after="100" w:before="100"/>
            </w:pPr>
            <w:r>
              <w:rPr>
                <w:b/>
                <w:i w:val="0"/>
                <w:sz w:val="18"/>
              </w:rPr>
              <w:t>Error %</w:t>
            </w:r>
          </w:p>
        </w:tc>
        <w:tc>
          <w:tcPr>
            <w:tcW w:type="dxa" w:w="1632"/>
            <w:vAlign w:val="center"/>
            <w:shd w:fill="E7EDF3"/>
          </w:tcPr>
          <w:p>
            <w:pPr>
              <w:keepNext/>
              <w:spacing w:after="100" w:before="100"/>
            </w:pPr>
            <w:r>
              <w:rPr>
                <w:b/>
                <w:i w:val="0"/>
                <w:sz w:val="18"/>
              </w:rPr>
              <w:t>Tolerance (relative + absolute)</w:t>
            </w:r>
          </w:p>
        </w:tc>
        <w:tc>
          <w:tcPr>
            <w:tcW w:type="dxa" w:w="1632"/>
            <w:vAlign w:val="center"/>
            <w:shd w:fill="E7EDF3"/>
          </w:tcPr>
          <w:p>
            <w:pPr>
              <w:keepNext/>
              <w:spacing w:after="100" w:before="100"/>
            </w:pPr>
            <w:r>
              <w:rPr>
                <w:b/>
                <w:i w:val="0"/>
                <w:sz w:val="18"/>
              </w:rPr>
              <w:t>Result</w:t>
            </w:r>
          </w:p>
        </w:tc>
      </w:tr>
      <w:tr>
        <w:trPr>
          <w:cantSplit/>
        </w:trPr>
        <w:tc>
          <w:tcPr>
            <w:tcW w:type="dxa" w:w="1632"/>
            <w:vAlign w:val="center"/>
            <w:shd w:fill="FFFFFF"/>
          </w:tcPr>
          <w:p>
            <w:pPr>
              <w:spacing w:after="100" w:before="100"/>
            </w:pPr>
            <w:r>
              <w:rPr>
                <w:b w:val="0"/>
                <w:i w:val="0"/>
                <w:sz w:val="18"/>
              </w:rPr>
              <w:t>Ex</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Ey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51.92147</w:t>
            </w:r>
          </w:p>
        </w:tc>
        <w:tc>
          <w:tcPr>
            <w:tcW w:type="dxa" w:w="1632"/>
            <w:vAlign w:val="center"/>
            <w:shd w:fill="FFFFFF"/>
          </w:tcPr>
          <w:p>
            <w:pPr>
              <w:spacing w:after="100" w:before="100"/>
            </w:pPr>
            <w:r>
              <w:rPr>
                <w:b w:val="0"/>
                <w:i w:val="0"/>
                <w:sz w:val="18"/>
              </w:rPr>
              <w:t>-7.45556e-06</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Gxy</w:t>
            </w:r>
            <w:r>
              <w:rPr>
                <w:b w:val="0"/>
                <w:i w:val="0"/>
                <w:sz w:val="18"/>
              </w:rPr>
              <w:t xml:space="preserve"> </w:t>
            </w:r>
            <w:r>
              <w:rPr>
                <w:b w:val="0"/>
                <w:i w:val="0"/>
                <w:sz w:val="18"/>
              </w:rPr>
              <w:t xml:space="preserve"> (</w:t>
            </w:r>
            <w:r>
              <w:rPr>
                <w:b w:val="0"/>
                <w:i w:val="0"/>
                <w:sz w:val="18"/>
              </w:rPr>
              <w:t xml:space="preserve"> </w:t>
            </w:r>
            <w:r>
              <w:rPr>
                <w:b w:val="0"/>
                <w:i w:val="0"/>
                <w:sz w:val="18"/>
              </w:rPr>
              <w:t>GPa</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19.81407</w:t>
            </w:r>
          </w:p>
        </w:tc>
        <w:tc>
          <w:tcPr>
            <w:tcW w:type="dxa" w:w="1632"/>
            <w:vAlign w:val="center"/>
            <w:shd w:fill="FFFFFF"/>
          </w:tcPr>
          <w:p>
            <w:pPr>
              <w:spacing w:after="100" w:before="100"/>
            </w:pPr>
            <w:r>
              <w:rPr>
                <w:b w:val="0"/>
                <w:i w:val="0"/>
                <w:sz w:val="18"/>
              </w:rPr>
              <w:t>1.95976e-05</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GPa</w:t>
            </w:r>
          </w:p>
        </w:tc>
        <w:tc>
          <w:tcPr>
            <w:tcW w:type="dxa" w:w="1632"/>
            <w:vAlign w:val="center"/>
            <w:shd w:fill="FFFFFF"/>
          </w:tcPr>
          <w:p>
            <w:pPr>
              <w:spacing w:after="100" w:before="100"/>
            </w:pPr>
            <w:r>
              <w:rPr>
                <w:b w:val="0"/>
                <w:i w:val="0"/>
                <w:sz w:val="18"/>
              </w:rPr>
              <w:t>Pass</w:t>
            </w:r>
          </w:p>
        </w:tc>
      </w:tr>
      <w:tr>
        <w:trPr>
          <w:cantSplit/>
        </w:trPr>
        <w:tc>
          <w:tcPr>
            <w:tcW w:type="dxa" w:w="1632"/>
            <w:vAlign w:val="center"/>
            <w:shd w:fill="FFFFFF"/>
          </w:tcPr>
          <w:p>
            <w:pPr>
              <w:spacing w:after="100" w:before="100"/>
            </w:pPr>
            <w:r>
              <w:rPr>
                <w:b w:val="0"/>
                <w:i w:val="0"/>
                <w:sz w:val="18"/>
              </w:rPr>
              <w:t>νxy</w:t>
            </w:r>
            <w:r>
              <w:rPr>
                <w:b w:val="0"/>
                <w:i w:val="0"/>
                <w:sz w:val="18"/>
              </w:rPr>
              <w:t xml:space="preserve"> </w:t>
            </w:r>
            <w:r>
              <w:rPr>
                <w:b w:val="0"/>
                <w:i w:val="0"/>
                <w:sz w:val="18"/>
              </w:rPr>
              <w:t xml:space="preserve"> (</w:t>
            </w:r>
            <w:r>
              <w:rPr>
                <w:b w:val="0"/>
                <w:i w:val="0"/>
                <w:sz w:val="18"/>
              </w:rPr>
              <w:t xml:space="preserve"> </w:t>
            </w:r>
            <w:r>
              <w:rPr>
                <w:b w:val="0"/>
                <w:i w:val="0"/>
                <w:sz w:val="18"/>
              </w:rPr>
              <w:t>—</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0.31022</w:t>
            </w:r>
          </w:p>
        </w:tc>
        <w:tc>
          <w:tcPr>
            <w:tcW w:type="dxa" w:w="1632"/>
            <w:vAlign w:val="center"/>
            <w:shd w:fill="FFFFFF"/>
          </w:tcPr>
          <w:p>
            <w:pPr>
              <w:spacing w:after="100" w:before="100"/>
            </w:pPr>
            <w:r>
              <w:rPr>
                <w:b w:val="0"/>
                <w:i w:val="0"/>
                <w:sz w:val="18"/>
              </w:rPr>
              <w:t>0.3102175</w:t>
            </w:r>
          </w:p>
        </w:tc>
        <w:tc>
          <w:tcPr>
            <w:tcW w:type="dxa" w:w="1632"/>
            <w:vAlign w:val="center"/>
            <w:shd w:fill="FFFFFF"/>
          </w:tcPr>
          <w:p>
            <w:pPr>
              <w:spacing w:after="100" w:before="100"/>
            </w:pPr>
            <w:r>
              <w:rPr>
                <w:b w:val="0"/>
                <w:i w:val="0"/>
                <w:sz w:val="18"/>
              </w:rPr>
              <w:t>0.000793473</w:t>
            </w:r>
          </w:p>
        </w:tc>
        <w:tc>
          <w:tcPr>
            <w:tcW w:type="dxa" w:w="1632"/>
            <w:vAlign w:val="center"/>
            <w:shd w:fill="FFFFFF"/>
          </w:tcPr>
          <w:p>
            <w:pPr>
              <w:spacing w:after="100" w:before="100"/>
            </w:pPr>
            <w:r>
              <w:rPr>
                <w:b w:val="0"/>
                <w:i w:val="0"/>
                <w:sz w:val="18"/>
              </w:rPr>
              <w:t>0.01</w:t>
            </w:r>
            <w:r>
              <w:rPr>
                <w:b w:val="0"/>
                <w:i w:val="0"/>
                <w:sz w:val="18"/>
              </w:rPr>
              <w:t xml:space="preserve"> </w:t>
            </w:r>
            <w:r>
              <w:rPr>
                <w:b w:val="0"/>
                <w:i w:val="0"/>
                <w:sz w:val="18"/>
              </w:rPr>
              <w:t xml:space="preserve">% + </w:t>
            </w:r>
            <w:r>
              <w:rPr>
                <w:b w:val="0"/>
                <w:i w:val="0"/>
                <w:sz w:val="18"/>
              </w:rPr>
              <w:t xml:space="preserve"> </w:t>
            </w:r>
            <w:r>
              <w:rPr>
                <w:b w:val="0"/>
                <w:i w:val="0"/>
                <w:sz w:val="18"/>
              </w:rPr>
              <w:t>0.00002</w:t>
            </w:r>
            <w:r>
              <w:rPr>
                <w:b w:val="0"/>
                <w:i w:val="0"/>
                <w:sz w:val="18"/>
              </w:rPr>
              <w:t xml:space="preserve"> </w:t>
            </w:r>
            <w:r>
              <w:rPr>
                <w:b w:val="0"/>
                <w:i w:val="0"/>
                <w:sz w:val="18"/>
              </w:rPr>
              <w:t xml:space="preserve"> </w:t>
            </w:r>
            <w:r>
              <w:rPr>
                <w:b w:val="0"/>
                <w:i w:val="0"/>
                <w:sz w:val="18"/>
              </w:rPr>
              <w:t xml:space="preserve"> </w:t>
            </w:r>
            <w:r>
              <w:rPr>
                <w:b w:val="0"/>
                <w:i w:val="0"/>
                <w:sz w:val="18"/>
              </w:rPr>
              <w:t>—</w:t>
            </w:r>
          </w:p>
        </w:tc>
        <w:tc>
          <w:tcPr>
            <w:tcW w:type="dxa" w:w="1632"/>
            <w:vAlign w:val="center"/>
            <w:shd w:fill="FFFFFF"/>
          </w:tcPr>
          <w:p>
            <w:pPr>
              <w:spacing w:after="100" w:before="100"/>
            </w:pPr>
            <w:r>
              <w:rPr>
                <w:b w:val="0"/>
                <w:i w:val="0"/>
                <w:sz w:val="18"/>
              </w:rPr>
              <w:t>Pass</w:t>
            </w:r>
          </w:p>
        </w:tc>
      </w:tr>
    </w:tbl>
    <w:p>
      <w:pPr>
        <w:spacing w:after="0"/>
      </w:pPr>
    </w:p>
    <w:p>
      <w:pPr>
        <w:pStyle w:val="ListBullet"/>
      </w:pPr>
      <w:hyperlink r:id="rId75">
        <w:r>
          <w:rPr>
            <w:color w:val="176EA4"/>
          </w:rPr>
          <w:t>MIT / David Roylance — Laminated Composite Plates </w:t>
        </w:r>
      </w:hyperlink>
      <w:r>
        <w:t xml:space="preserve"> </w:t>
      </w:r>
      <w:r>
        <w:rPr>
          <w:b w:val="0"/>
          <w:i w:val="0"/>
        </w:rPr>
        <w:t>Transformed plane-stress constitutive law and laminate extensional stiffness, equations 10–11 and 20–25</w:t>
      </w:r>
      <w:r>
        <w:rPr>
          <w:b w:val="0"/>
          <w:i w:val="0"/>
        </w:rPr>
        <w:t xml:space="preserve"> </w:t>
      </w:r>
      <w:r>
        <w:rPr>
          <w:b w:val="0"/>
          <w:i w:val="0"/>
        </w:rPr>
        <w:t xml:space="preserve">. </w:t>
      </w:r>
      <w:r>
        <w:rPr>
          <w:b w:val="0"/>
          <w:i w:val="0"/>
        </w:rPr>
        <w:t xml:space="preserve"> </w:t>
      </w:r>
      <w:r>
        <w:rPr>
          <w:b w:val="0"/>
          <w:i w:val="0"/>
        </w:rPr>
        <w:t>Independent strain/stress transformation and thickness integration; prescribed input elasticity is not validated.</w:t>
      </w:r>
      <w:r>
        <w:t xml:space="preserve"> </w:t>
      </w:r>
    </w:p>
    <w:p>
      <w:pPr>
        <w:pStyle w:val="Heading3"/>
      </w:pPr>
      <w:r>
        <w:t>Tested inputs</w:t>
      </w:r>
    </w:p>
    <w:p>
      <w:pPr>
        <w:keepNext/>
      </w:pPr>
      <w:r>
        <w:rPr>
          <w:b/>
          <w:i w:val="0"/>
        </w:rPr>
        <w:t>Reference ply list (GPa, mm, degrees)</w:t>
      </w:r>
    </w:p>
    <w:p>
      <w:r>
        <w:t>Exact numerical inputs are retained in the linked validation evidence.</w:t>
      </w:r>
    </w:p>
    <w:p>
      <w:pPr>
        <w:pStyle w:val="ListBullet"/>
      </w:pPr>
      <w:r>
        <w:rPr>
          <w:b w:val="0"/>
          <w:i w:val="0"/>
        </w:rPr>
        <w:t>Guided optimization case study using shared database records. Configure the documented search in Optimize, then save its results and inputs. No precomputed optimum or benchmark-validation claim. ASTM-based teaching geometry, not certification. Grips, tabs, alignment and physical test validity are not simulated.</w:t>
      </w:r>
    </w:p>
    <w:p>
      <w:pPr/>
      <w:hyperlink r:id="rId183">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keepNext/>
      </w:pPr>
      <w:r>
        <w:rPr>
          <w:b/>
          <w:i w:val="0"/>
        </w:rPr>
        <w:t>Process optimization: cycle time and thermal uniformity</w:t>
      </w:r>
      <w:r>
        <w:rPr>
          <w:b/>
          <w:i w:val="0"/>
        </w:rPr>
        <w:t xml:space="preserve"> </w:t>
      </w:r>
      <w:r>
        <w:rPr>
          <w:b/>
          <w:i w:val="0"/>
        </w:rPr>
        <w:t xml:space="preserve"> — </w:t>
      </w:r>
      <w:r>
        <w:rPr>
          <w:b/>
          <w:i w:val="0"/>
        </w:rPr>
        <w:t xml:space="preserve"> </w:t>
      </w:r>
      <w:r>
        <w:rPr>
          <w:b/>
          <w:i w:val="0"/>
        </w:rPr>
        <w:t>Not benchmark validated</w:t>
      </w:r>
    </w:p>
    <w:p>
      <w:pPr>
        <w:pStyle w:val="Heading3"/>
      </w:pPr>
      <w:r>
        <w:t>Reference validation 2026-09-18</w:t>
      </w:r>
    </w:p>
    <w:p>
      <w:pPr>
        <w:keepNext/>
      </w:pPr>
      <w:r>
        <w:rPr>
          <w:b/>
          <w:i w:val="0"/>
        </w:rPr>
        <w:t>Not benchmark validated</w:t>
      </w:r>
    </w:p>
    <w:p>
      <w:pPr/>
      <w:r>
        <w:rPr>
          <w:b w:val="0"/>
          <w:i w:val="0"/>
        </w:rPr>
        <w:t>No matched quantitative reference comparison completed for the full exercise.</w:t>
      </w:r>
    </w:p>
    <w:p>
      <w:pPr/>
      <w:r>
        <w:rPr>
          <w:b w:val="0"/>
          <w:i w:val="0"/>
        </w:rPr>
        <w:t>Recorded baseline only—not a certification of the current database, edited inputs, or every output. Analytical agreement is not experimental material or failure validation.</w:t>
      </w:r>
    </w:p>
    <w:p>
      <w:pPr>
        <w:keepNext/>
      </w:pPr>
      <w:r>
        <w:rPr>
          <w:b/>
          <w:i w:val="0"/>
        </w:rPr>
        <w:t>Source validation, comparisons and tested inputs</w:t>
      </w:r>
    </w:p>
    <w:p>
      <w:pPr/>
      <w:r>
        <w:rPr>
          <w:b w:val="0"/>
          <w:i w:val="0"/>
        </w:rPr>
        <w:t xml:space="preserve">Execution: </w:t>
      </w:r>
      <w:r>
        <w:rPr>
          <w:b w:val="0"/>
          <w:i w:val="0"/>
        </w:rPr>
        <w:t xml:space="preserve"> </w:t>
      </w:r>
      <w:r>
        <w:rPr>
          <w:b w:val="0"/>
          <w:i w:val="0"/>
        </w:rPr>
        <w:t>Completed (not validation)</w:t>
      </w:r>
    </w:p>
    <w:p>
      <w:pPr/>
      <w:r>
        <w:rPr>
          <w:b w:val="0"/>
          <w:i w:val="0"/>
        </w:rPr>
        <w:t>A coupled, damage, transport or local-field comparison needs matched constitutive data, boundary conditions and field/mesh convergence. Execution alone is insufficient.</w:t>
      </w:r>
    </w:p>
    <w:p>
      <w:pPr>
        <w:pStyle w:val="Heading3"/>
      </w:pPr>
      <w:r>
        <w:t>Tested inputs</w:t>
      </w:r>
    </w:p>
    <w:p>
      <w:pPr>
        <w:pStyle w:val="ListBullet"/>
      </w:pPr>
      <w:r>
        <w:rPr>
          <w:b w:val="0"/>
          <w:i w:val="0"/>
        </w:rPr>
        <w:t>Guided optimization case study using shared database records. Configure the documented search in Optimize, then save its results and inputs. No precomputed optimum or benchmark-validation claim. One-dimensional through-thickness transport; lateral heat loss and oven airflow are not resolved. Inspect linked cure settings before interpreting reaction heating.</w:t>
      </w:r>
    </w:p>
    <w:p>
      <w:pPr/>
      <w:hyperlink r:id="rId184">
        <w:r>
          <w:rPr>
            <w:color w:val="176EA4"/>
          </w:rPr>
          <w:t>Download source-validation evidence (JSON)</w:t>
        </w:r>
      </w:hyperlink>
      <w:r>
        <w:t xml:space="preserve"> </w:t>
      </w:r>
      <w:r>
        <w:rPr>
          <w:b w:val="0"/>
          <w:i w:val="0"/>
        </w:rPr>
        <w:t xml:space="preserve"> · </w:t>
      </w:r>
      <w:hyperlink r:id="rId71">
        <w:r>
          <w:rPr>
            <w:color w:val="176EA4"/>
          </w:rPr>
          <w:t>Full 104 -exercise study</w:t>
        </w:r>
      </w:hyperlink>
      <w:r>
        <w:t xml:space="preserve"> </w:t>
      </w:r>
    </w:p>
    <w:p>
      <w:pPr/>
      <w:hyperlink r:id="rId14">
        <w:r>
          <w:rPr>
            <w:color w:val="176EA4"/>
          </w:rPr>
          <w:t>All exercises, case studies and simulation examples →</w:t>
        </w:r>
      </w:hyperlink>
      <w:r>
        <w:t xml:space="preserve"> </w:t>
      </w:r>
      <w:r>
        <w:rPr>
          <w:b w:val="0"/>
          <w:i w:val="0"/>
        </w:rPr>
        <w:t xml:space="preserve"> · </w:t>
      </w:r>
      <w:hyperlink r:id="rId12">
        <w:r>
          <w:rPr>
            <w:color w:val="176EA4"/>
          </w:rPr>
          <w:t>Your CDS library: overview, manuals and database downloads →</w:t>
        </w:r>
      </w:hyperlink>
      <w:r>
        <w:t xml:space="preserve"> </w:t>
      </w:r>
    </w:p>
    <w:p>
      <w:pPr/>
      <w:r>
        <w:rPr>
          <w:b w:val="0"/>
          <w:i w:val="0"/>
        </w:rPr>
        <w:t xml:space="preserve">Workbench availability: </w:t>
      </w:r>
      <w:hyperlink r:id="rId11">
        <w:r>
          <w:rPr>
            <w:color w:val="176EA4"/>
          </w:rPr>
          <w:t>released models, inputs and compatible study paths</w:t>
        </w:r>
      </w:hyperlink>
      <w:r>
        <w:t xml:space="preserve"> </w:t>
      </w:r>
      <w:r>
        <w:rPr>
          <w:b w:val="0"/>
          <w:i w:val="0"/>
        </w:rPr>
        <w:t>. The wider theory library includes reference formulations not available in every Workbench solve.</w:t>
      </w:r>
    </w:p>
    <w:sectPr w:rsidR="00FC693F" w:rsidRPr="0006063C" w:rsidSect="00034616">
      <w:footerReference w:type="default" r:id="rId9"/>
      <w:pgSz w:w="12240" w:h="15840"/>
      <w:pgMar w:top="1008"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CDS Composites    |    Getting Started Handbook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mbria" w:hAnsi="Cambria"/>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cstheme="majorBidi" w:ascii="Cambria" w:hAnsi="Cambria"/>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cstheme="majorBidi" w:ascii="Cambria" w:hAnsi="Cambria"/>
      <w:b/>
      <w:bCs/>
      <w:color w:val="000000"/>
      <w:sz w:val="30"/>
      <w:szCs w:val="26"/>
    </w:rPr>
  </w:style>
  <w:style w:type="paragraph" w:styleId="Heading3">
    <w:name w:val="heading 3"/>
    <w:basedOn w:val="Normal"/>
    <w:next w:val="Normal"/>
    <w:link w:val="Heading3Char"/>
    <w:uiPriority w:val="9"/>
    <w:unhideWhenUsed/>
    <w:qFormat/>
    <w:rsid w:val="00FC693F"/>
    <w:pPr>
      <w:keepNext/>
      <w:keepLines/>
      <w:spacing w:before="200" w:after="140"/>
      <w:outlineLvl w:val="2"/>
    </w:pPr>
    <w:rPr>
      <w:rFonts w:cstheme="majorBidi" w:ascii="Cambria" w:hAnsi="Cambria"/>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cstheme="majorBidi" w:ascii="Cambria" w:hAnsi="Cambria"/>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40"/>
    </w:pPr>
    <w:rPr>
      <w:rFonts w:ascii="Cambria" w:hAnsi="Cambria"/>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cdscomposites.com/getting-started/quick-start" TargetMode="External"/><Relationship Id="rId11" Type="http://schemas.openxmlformats.org/officeDocument/2006/relationships/hyperlink" Target="https://cdscomposites.com/workflow/models" TargetMode="External"/><Relationship Id="rId12" Type="http://schemas.openxmlformats.org/officeDocument/2006/relationships/hyperlink" Target="https://cdscomposites.com/account/library" TargetMode="External"/><Relationship Id="rId13" Type="http://schemas.openxmlformats.org/officeDocument/2006/relationships/image" Target="media/image1.png"/><Relationship Id="rId14" Type="http://schemas.openxmlformats.org/officeDocument/2006/relationships/hyperlink" Target="https://cdscomposites.com/getting-started/exercises" TargetMode="External"/><Relationship Id="rId15" Type="http://schemas.openxmlformats.org/officeDocument/2006/relationships/image" Target="media/image2.png"/><Relationship Id="rId16" Type="http://schemas.openxmlformats.org/officeDocument/2006/relationships/hyperlink" Target="https://cdscomposites.com/images/workbench/day-material-record-20260910.jpg" TargetMode="External"/><Relationship Id="rId17" Type="http://schemas.openxmlformats.org/officeDocument/2006/relationships/hyperlink" Target="https://cdscomposites.com/getting-started/quick-start#first-edit-screen-0" TargetMode="External"/><Relationship Id="rId18" Type="http://schemas.openxmlformats.org/officeDocument/2006/relationships/hyperlink" Target="https://cdscomposites.com/getting-started/quick-start#run-review-screen-0" TargetMode="External"/><Relationship Id="rId19" Type="http://schemas.openxmlformats.org/officeDocument/2006/relationships/image" Target="media/image3.png"/><Relationship Id="rId20" Type="http://schemas.openxmlformats.org/officeDocument/2006/relationships/hyperlink" Target="https://cdscomposites.com/images/workbench/manual-simulation.jpg" TargetMode="External"/><Relationship Id="rId21" Type="http://schemas.openxmlformats.org/officeDocument/2006/relationships/hyperlink" Target="https://cdscomposites.com/getting-started/workbench" TargetMode="External"/><Relationship Id="rId22" Type="http://schemas.openxmlformats.org/officeDocument/2006/relationships/hyperlink" Target="https://cdscomposites.com/getting-started/workbench#search-filter-screen-0" TargetMode="External"/><Relationship Id="rId23" Type="http://schemas.openxmlformats.org/officeDocument/2006/relationships/hyperlink" Target="https://cdscomposites.com/getting-started/interface-controls" TargetMode="External"/><Relationship Id="rId24" Type="http://schemas.openxmlformats.org/officeDocument/2006/relationships/image" Target="media/image4.png"/><Relationship Id="rId25" Type="http://schemas.openxmlformats.org/officeDocument/2006/relationships/hyperlink" Target="https://cdscomposites.com/images/workbench/manual-record-menu.jpg" TargetMode="External"/><Relationship Id="rId26" Type="http://schemas.openxmlformats.org/officeDocument/2006/relationships/image" Target="media/image5.png"/><Relationship Id="rId27" Type="http://schemas.openxmlformats.org/officeDocument/2006/relationships/hyperlink" Target="https://cdscomposites.com/images/workbench/manual-carpet-2d.jpg" TargetMode="External"/><Relationship Id="rId28" Type="http://schemas.openxmlformats.org/officeDocument/2006/relationships/image" Target="media/image6.png"/><Relationship Id="rId29" Type="http://schemas.openxmlformats.org/officeDocument/2006/relationships/hyperlink" Target="https://cdscomposites.com/images/workbench/manual-carpet-3d.jpg" TargetMode="External"/><Relationship Id="rId30" Type="http://schemas.openxmlformats.org/officeDocument/2006/relationships/hyperlink" Target="https://cdscomposites.com/getting-started/connected-workbench" TargetMode="External"/><Relationship Id="rId31" Type="http://schemas.openxmlformats.org/officeDocument/2006/relationships/hyperlink" Target="https://cdscomposites.com/getting-started/failure-optimization" TargetMode="External"/><Relationship Id="rId32" Type="http://schemas.openxmlformats.org/officeDocument/2006/relationships/hyperlink" Target="https://cdscomposites.com/getting-started/connected-workbench#start-screen-0" TargetMode="External"/><Relationship Id="rId33" Type="http://schemas.openxmlformats.org/officeDocument/2006/relationships/hyperlink" Target="https://cdscomposites.com/getting-started/connected-workbench#start-screen-1" TargetMode="External"/><Relationship Id="rId34" Type="http://schemas.openxmlformats.org/officeDocument/2006/relationships/hyperlink" Target="https://cdscomposites.com/getting-started/connected-workbench#start-screen-2" TargetMode="External"/><Relationship Id="rId35" Type="http://schemas.openxmlformats.org/officeDocument/2006/relationships/hyperlink" Target="https://cdscomposites.com/getting-started/connected-workbench#start-screen-3" TargetMode="External"/><Relationship Id="rId36" Type="http://schemas.openxmlformats.org/officeDocument/2006/relationships/image" Target="media/image7.png"/><Relationship Id="rId37" Type="http://schemas.openxmlformats.org/officeDocument/2006/relationships/hyperlink" Target="https://cdscomposites.com/images/workbench/manual-micro.jpg" TargetMode="External"/><Relationship Id="rId38" Type="http://schemas.openxmlformats.org/officeDocument/2006/relationships/image" Target="media/image8.png"/><Relationship Id="rId39" Type="http://schemas.openxmlformats.org/officeDocument/2006/relationships/hyperlink" Target="https://cdscomposites.com/images/workbench/day-laminate-20260910.jpg" TargetMode="External"/><Relationship Id="rId40" Type="http://schemas.openxmlformats.org/officeDocument/2006/relationships/hyperlink" Target="https://cdscomposites.com/getting-started/connected-workbench#sync-screen-0" TargetMode="External"/><Relationship Id="rId41" Type="http://schemas.openxmlformats.org/officeDocument/2006/relationships/hyperlink" Target="https://cdscomposites.com/getting-started/connected-workbench#provenance-screen-0" TargetMode="External"/><Relationship Id="rId42" Type="http://schemas.openxmlformats.org/officeDocument/2006/relationships/hyperlink" Target="https://cdscomposites.com/getting-started/connected-workbench#tree-studies-screen-0" TargetMode="External"/><Relationship Id="rId43" Type="http://schemas.openxmlformats.org/officeDocument/2006/relationships/hyperlink" Target="https://cdscomposites.com/getting-started/connected-workbench#layup-screen-0" TargetMode="External"/><Relationship Id="rId44" Type="http://schemas.openxmlformats.org/officeDocument/2006/relationships/hyperlink" Target="https://cdscomposites.com/getting-started/connected-workbench#process-screen-0" TargetMode="External"/><Relationship Id="rId45" Type="http://schemas.openxmlformats.org/officeDocument/2006/relationships/hyperlink" Target="https://cdscomposites.com/getting-started/connected-workbench#process-screen-1" TargetMode="External"/><Relationship Id="rId46" Type="http://schemas.openxmlformats.org/officeDocument/2006/relationships/image" Target="media/image9.png"/><Relationship Id="rId47" Type="http://schemas.openxmlformats.org/officeDocument/2006/relationships/hyperlink" Target="https://cdscomposites.com/images/workbench/manual-process-cycle.jpg" TargetMode="External"/><Relationship Id="rId48" Type="http://schemas.openxmlformats.org/officeDocument/2006/relationships/image" Target="media/image10.png"/><Relationship Id="rId49" Type="http://schemas.openxmlformats.org/officeDocument/2006/relationships/hyperlink" Target="https://cdscomposites.com/images/workbench/manual-load.jpg" TargetMode="External"/><Relationship Id="rId50" Type="http://schemas.openxmlformats.org/officeDocument/2006/relationships/hyperlink" Target="https://cdscomposites.com/getting-started/materials" TargetMode="External"/><Relationship Id="rId51" Type="http://schemas.openxmlformats.org/officeDocument/2006/relationships/hyperlink" Target="https://cdscomposites.com/getting-started/materials#add-materials-screen-1" TargetMode="External"/><Relationship Id="rId52" Type="http://schemas.openxmlformats.org/officeDocument/2006/relationships/image" Target="media/image11.png"/><Relationship Id="rId53" Type="http://schemas.openxmlformats.org/officeDocument/2006/relationships/hyperlink" Target="https://cdscomposites.com/images/workbench/manual-material-menu.jpg" TargetMode="External"/><Relationship Id="rId54" Type="http://schemas.openxmlformats.org/officeDocument/2006/relationships/hyperlink" Target="https://cdscomposites.com/getting-started/materials#edit-properties-screen-0" TargetMode="External"/><Relationship Id="rId55" Type="http://schemas.openxmlformats.org/officeDocument/2006/relationships/hyperlink" Target="https://cdscomposites.com/getting-started/materials#organize-materials-screen-0" TargetMode="External"/><Relationship Id="rId56" Type="http://schemas.openxmlformats.org/officeDocument/2006/relationships/hyperlink" Target="https://cdscomposites.com/getting-started/materials#duplicate-delete-screen-0" TargetMode="External"/><Relationship Id="rId57" Type="http://schemas.openxmlformats.org/officeDocument/2006/relationships/hyperlink" Target="https://cdscomposites.com/getting-started/materials#right-click-options-screen-0" TargetMode="External"/><Relationship Id="rId58" Type="http://schemas.openxmlformats.org/officeDocument/2006/relationships/hyperlink" Target="https://cdscomposites.com/getting-started/laminas-laminates" TargetMode="External"/><Relationship Id="rId59" Type="http://schemas.openxmlformats.org/officeDocument/2006/relationships/image" Target="media/image12.png"/><Relationship Id="rId60" Type="http://schemas.openxmlformats.org/officeDocument/2006/relationships/hyperlink" Target="https://cdscomposites.com/getting-started/laminas-laminates#create-lamina-screen-0" TargetMode="External"/><Relationship Id="rId61" Type="http://schemas.openxmlformats.org/officeDocument/2006/relationships/image" Target="media/image13.png"/><Relationship Id="rId62" Type="http://schemas.openxmlformats.org/officeDocument/2006/relationships/hyperlink" Target="https://cdscomposites.com/images/workbench/fabric-unit-cell-20260917.png" TargetMode="External"/><Relationship Id="rId63" Type="http://schemas.openxmlformats.org/officeDocument/2006/relationships/hyperlink" Target="https://cdscomposites.com/getting-started/process-simulations" TargetMode="External"/><Relationship Id="rId64" Type="http://schemas.openxmlformats.org/officeDocument/2006/relationships/image" Target="media/image14.png"/><Relationship Id="rId65" Type="http://schemas.openxmlformats.org/officeDocument/2006/relationships/hyperlink" Target="https://cdscomposites.com/getting-started/process-simulations#cycle-table-screen-0" TargetMode="External"/><Relationship Id="rId66" Type="http://schemas.openxmlformats.org/officeDocument/2006/relationships/hyperlink" Target="https://cdscomposites.com/getting-started/process-simulations#run-case-screen-0" TargetMode="External"/><Relationship Id="rId67" Type="http://schemas.openxmlformats.org/officeDocument/2006/relationships/hyperlink" Target="https://cdscomposites.com/getting-started/process-simulations#cure-coupling-screen-0" TargetMode="External"/><Relationship Id="rId68" Type="http://schemas.openxmlformats.org/officeDocument/2006/relationships/image" Target="media/image15.png"/><Relationship Id="rId69" Type="http://schemas.openxmlformats.org/officeDocument/2006/relationships/hyperlink" Target="https://cdscomposites.com/images/workbench/manual-process-optimize.jpg" TargetMode="External"/><Relationship Id="rId70" Type="http://schemas.openxmlformats.org/officeDocument/2006/relationships/hyperlink" Target="https://cdscomposites.com/getting-started/process-simulations#process-optimization-screen-0" TargetMode="External"/><Relationship Id="rId71" Type="http://schemas.openxmlformats.org/officeDocument/2006/relationships/hyperlink" Target="https://cdscomposites.com/getting-started/validation" TargetMode="External"/><Relationship Id="rId72" Type="http://schemas.openxmlformats.org/officeDocument/2006/relationships/hyperlink" Target="https://cdscomposites.com/api/validation/exercises" TargetMode="External"/><Relationship Id="rId73" Type="http://schemas.openxmlformats.org/officeDocument/2006/relationships/hyperlink" Target="https://cdscomposites.com/api/validation/exercises?exercise=02-hybrid" TargetMode="External"/><Relationship Id="rId74" Type="http://schemas.openxmlformats.org/officeDocument/2006/relationships/hyperlink" Target="https://cdscomposites.com/api/validation/exercises?exercise=02-short-fiber" TargetMode="External"/><Relationship Id="rId75" Type="http://schemas.openxmlformats.org/officeDocument/2006/relationships/hyperlink" Target="https://ocw.mit.edu/courses/3-11-mechanics-of-materials-fall-1999/f193c908ec10d95c0bc67c904b65397a_MIT3_11F99_laminates.pdf" TargetMode="External"/><Relationship Id="rId76" Type="http://schemas.openxmlformats.org/officeDocument/2006/relationships/hyperlink" Target="https://ocw.mit.edu/courses/3-11-mechanics-of-materials-fall-1999/e87276d20858aa3dc64aae71b04d7486_MIT3_11F99_composites.pdf" TargetMode="External"/><Relationship Id="rId77" Type="http://schemas.openxmlformats.org/officeDocument/2006/relationships/hyperlink" Target="https://cdscomposites.com/api/validation/exercises?exercise=01-rom" TargetMode="External"/><Relationship Id="rId78" Type="http://schemas.openxmlformats.org/officeDocument/2006/relationships/hyperlink" Target="https://cdscomposites.com/api/validation/exercises?exercise=02-halpin" TargetMode="External"/><Relationship Id="rId79" Type="http://schemas.openxmlformats.org/officeDocument/2006/relationships/hyperlink" Target="https://cdscomposites.com/api/validation/exercises?exercise=03-layup" TargetMode="External"/><Relationship Id="rId80" Type="http://schemas.openxmlformats.org/officeDocument/2006/relationships/hyperlink" Target="https://cdscomposites.com/api/validation/exercises?exercise=04-shear" TargetMode="External"/><Relationship Id="rId81" Type="http://schemas.openxmlformats.org/officeDocument/2006/relationships/hyperlink" Target="https://ocw.mit.edu/courses/3-11-mechanics-of-materials-fall-1999/13534abb67b86d2fb8ee11a1f4f2b8c4_MIT3_11F99_bdisp.pdf" TargetMode="External"/><Relationship Id="rId82" Type="http://schemas.openxmlformats.org/officeDocument/2006/relationships/hyperlink" Target="https://cdscomposites.com/api/validation/exercises?exercise=05-flexure" TargetMode="External"/><Relationship Id="rId83" Type="http://schemas.openxmlformats.org/officeDocument/2006/relationships/hyperlink" Target="https://ocw.mit.edu/courses/3-11-mechanics-of-materials-fall-1999/082fcd712adffa589a670f9f8dfdd49a_MIT3_11F99_pv.pdf" TargetMode="External"/><Relationship Id="rId84" Type="http://schemas.openxmlformats.org/officeDocument/2006/relationships/hyperlink" Target="https://cdscomposites.com/api/validation/exercises?exercise=06-pressure" TargetMode="External"/><Relationship Id="rId85" Type="http://schemas.openxmlformats.org/officeDocument/2006/relationships/hyperlink" Target="https://cdscomposites.com/api/validation/exercises?exercise=07-thermal" TargetMode="External"/><Relationship Id="rId86" Type="http://schemas.openxmlformats.org/officeDocument/2006/relationships/hyperlink" Target="https://cdscomposites.com/api/validation/exercises?exercise=08-moisture" TargetMode="External"/><Relationship Id="rId87" Type="http://schemas.openxmlformats.org/officeDocument/2006/relationships/hyperlink" Target="https://cdscomposites.com/api/validation/exercises?exercise=09-bond" TargetMode="External"/><Relationship Id="rId88" Type="http://schemas.openxmlformats.org/officeDocument/2006/relationships/hyperlink" Target="https://cdscomposites.com/api/validation/exercises?exercise=10-coupled" TargetMode="External"/><Relationship Id="rId89" Type="http://schemas.openxmlformats.org/officeDocument/2006/relationships/hyperlink" Target="https://ntrs.nasa.gov/api/citations/20160001347/downloads/20160001347.pdf" TargetMode="External"/><Relationship Id="rId90" Type="http://schemas.openxmlformats.org/officeDocument/2006/relationships/hyperlink" Target="https://cdscomposites.com/api/validation/exercises?exercise=case-lamina-analysis" TargetMode="External"/><Relationship Id="rId91" Type="http://schemas.openxmlformats.org/officeDocument/2006/relationships/hyperlink" Target="https://ntrs.nasa.gov/api/citations/20140006740/downloads/20140006740.pdf?attachment=true" TargetMode="External"/><Relationship Id="rId92" Type="http://schemas.openxmlformats.org/officeDocument/2006/relationships/hyperlink" Target="https://cdscomposites.com/api/validation/exercises?exercise=case-laminate-design" TargetMode="External"/><Relationship Id="rId93" Type="http://schemas.openxmlformats.org/officeDocument/2006/relationships/hyperlink" Target="https://ntrs.nasa.gov/citations/20200000350" TargetMode="External"/><Relationship Id="rId94" Type="http://schemas.openxmlformats.org/officeDocument/2006/relationships/hyperlink" Target="https://cdscomposites.com/api/validation/exercises?exercise=case-process-cure" TargetMode="External"/><Relationship Id="rId95" Type="http://schemas.openxmlformats.org/officeDocument/2006/relationships/hyperlink" Target="https://ntrs.nasa.gov/citations/19940020114" TargetMode="External"/><Relationship Id="rId96" Type="http://schemas.openxmlformats.org/officeDocument/2006/relationships/hyperlink" Target="https://cdscomposites.com/api/validation/exercises?exercise=case-structural-pressure" TargetMode="External"/><Relationship Id="rId97" Type="http://schemas.openxmlformats.org/officeDocument/2006/relationships/hyperlink" Target="https://cdscomposites.com/api/validation/exercises?exercise=07-pultrusion-intro" TargetMode="External"/><Relationship Id="rId98" Type="http://schemas.openxmlformats.org/officeDocument/2006/relationships/hyperlink" Target="https://cdscomposites.com/api/validation/exercises?exercise=07-pultrusion-zones" TargetMode="External"/><Relationship Id="rId99" Type="http://schemas.openxmlformats.org/officeDocument/2006/relationships/hyperlink" Target="https://cdscomposites.com/api/validation/exercises?exercise=07-uv-cure" TargetMode="External"/><Relationship Id="rId100" Type="http://schemas.openxmlformats.org/officeDocument/2006/relationships/hyperlink" Target="https://cdscomposites.com/api/validation/exercises?exercise=simulation-01" TargetMode="External"/><Relationship Id="rId101" Type="http://schemas.openxmlformats.org/officeDocument/2006/relationships/hyperlink" Target="https://cdscomposites.com/api/validation/exercises?exercise=simulation-02" TargetMode="External"/><Relationship Id="rId102" Type="http://schemas.openxmlformats.org/officeDocument/2006/relationships/hyperlink" Target="https://cdscomposites.com/api/validation/exercises?exercise=simulation-03" TargetMode="External"/><Relationship Id="rId103" Type="http://schemas.openxmlformats.org/officeDocument/2006/relationships/hyperlink" Target="https://cdscomposites.com/api/validation/exercises?exercise=simulation-04" TargetMode="External"/><Relationship Id="rId104" Type="http://schemas.openxmlformats.org/officeDocument/2006/relationships/hyperlink" Target="https://cdscomposites.com/api/validation/exercises?exercise=simulation-05" TargetMode="External"/><Relationship Id="rId105" Type="http://schemas.openxmlformats.org/officeDocument/2006/relationships/hyperlink" Target="https://cdscomposites.com/api/validation/exercises?exercise=simulation-06" TargetMode="External"/><Relationship Id="rId106" Type="http://schemas.openxmlformats.org/officeDocument/2006/relationships/hyperlink" Target="https://cdscomposites.com/api/validation/exercises?exercise=simulation-07" TargetMode="External"/><Relationship Id="rId107" Type="http://schemas.openxmlformats.org/officeDocument/2006/relationships/hyperlink" Target="https://cdscomposites.com/api/validation/exercises?exercise=simulation-08" TargetMode="External"/><Relationship Id="rId108" Type="http://schemas.openxmlformats.org/officeDocument/2006/relationships/hyperlink" Target="https://cdscomposites.com/api/validation/exercises?exercise=simulation-09" TargetMode="External"/><Relationship Id="rId109" Type="http://schemas.openxmlformats.org/officeDocument/2006/relationships/hyperlink" Target="https://cdscomposites.com/api/validation/exercises?exercise=simulation-10" TargetMode="External"/><Relationship Id="rId110" Type="http://schemas.openxmlformats.org/officeDocument/2006/relationships/hyperlink" Target="https://cdscomposites.com/api/validation/exercises?exercise=simulation-11" TargetMode="External"/><Relationship Id="rId111" Type="http://schemas.openxmlformats.org/officeDocument/2006/relationships/hyperlink" Target="https://cdscomposites.com/api/validation/exercises?exercise=simulation-12" TargetMode="External"/><Relationship Id="rId112" Type="http://schemas.openxmlformats.org/officeDocument/2006/relationships/hyperlink" Target="https://cdscomposites.com/api/validation/exercises?exercise=simulation-13" TargetMode="External"/><Relationship Id="rId113" Type="http://schemas.openxmlformats.org/officeDocument/2006/relationships/hyperlink" Target="https://cdscomposites.com/api/validation/exercises?exercise=simulation-14" TargetMode="External"/><Relationship Id="rId114" Type="http://schemas.openxmlformats.org/officeDocument/2006/relationships/hyperlink" Target="https://cdscomposites.com/api/validation/exercises?exercise=simulation-15" TargetMode="External"/><Relationship Id="rId115" Type="http://schemas.openxmlformats.org/officeDocument/2006/relationships/hyperlink" Target="https://cdscomposites.com/api/validation/exercises?exercise=simulation-16" TargetMode="External"/><Relationship Id="rId116" Type="http://schemas.openxmlformats.org/officeDocument/2006/relationships/hyperlink" Target="https://cdscomposites.com/api/validation/exercises?exercise=simulation-17" TargetMode="External"/><Relationship Id="rId117" Type="http://schemas.openxmlformats.org/officeDocument/2006/relationships/hyperlink" Target="https://cdscomposites.com/api/validation/exercises?exercise=simulation-18" TargetMode="External"/><Relationship Id="rId118" Type="http://schemas.openxmlformats.org/officeDocument/2006/relationships/hyperlink" Target="https://cdscomposites.com/api/validation/exercises?exercise=simulation-19" TargetMode="External"/><Relationship Id="rId119" Type="http://schemas.openxmlformats.org/officeDocument/2006/relationships/hyperlink" Target="https://cdscomposites.com/api/validation/exercises?exercise=simulation-20" TargetMode="External"/><Relationship Id="rId120" Type="http://schemas.openxmlformats.org/officeDocument/2006/relationships/hyperlink" Target="https://cdscomposites.com/api/validation/exercises?exercise=converted-ply-ea5f46e7a9" TargetMode="External"/><Relationship Id="rId121" Type="http://schemas.openxmlformats.org/officeDocument/2006/relationships/hyperlink" Target="https://cdscomposites.com/api/validation/exercises?exercise=converted-ply-02fbff1700" TargetMode="External"/><Relationship Id="rId122" Type="http://schemas.openxmlformats.org/officeDocument/2006/relationships/hyperlink" Target="https://cdscomposites.com/api/validation/exercises?exercise=converted-ply-57752928ab" TargetMode="External"/><Relationship Id="rId123" Type="http://schemas.openxmlformats.org/officeDocument/2006/relationships/hyperlink" Target="https://cdscomposites.com/api/validation/exercises?exercise=converted-ply-c5784299d8" TargetMode="External"/><Relationship Id="rId124" Type="http://schemas.openxmlformats.org/officeDocument/2006/relationships/hyperlink" Target="https://cdscomposites.com/api/validation/exercises?exercise=converted-layup-0554244948" TargetMode="External"/><Relationship Id="rId125" Type="http://schemas.openxmlformats.org/officeDocument/2006/relationships/hyperlink" Target="https://cdscomposites.com/api/validation/exercises?exercise=converted-layup-a52a5ff06d" TargetMode="External"/><Relationship Id="rId126" Type="http://schemas.openxmlformats.org/officeDocument/2006/relationships/hyperlink" Target="https://cdscomposites.com/api/validation/exercises?exercise=converted-layup-f25493b32a" TargetMode="External"/><Relationship Id="rId127" Type="http://schemas.openxmlformats.org/officeDocument/2006/relationships/hyperlink" Target="https://cdscomposites.com/api/validation/exercises?exercise=converted-layup-2ac9ccf9ec" TargetMode="External"/><Relationship Id="rId128" Type="http://schemas.openxmlformats.org/officeDocument/2006/relationships/hyperlink" Target="https://cdscomposites.com/api/validation/exercises?exercise=converted-layup-e24774e9ca" TargetMode="External"/><Relationship Id="rId129" Type="http://schemas.openxmlformats.org/officeDocument/2006/relationships/hyperlink" Target="https://cdscomposites.com/api/validation/exercises?exercise=converted-ply-01a9daf337" TargetMode="External"/><Relationship Id="rId130" Type="http://schemas.openxmlformats.org/officeDocument/2006/relationships/hyperlink" Target="https://cdscomposites.com/api/validation/exercises?exercise=converted-ply-a55fce3095" TargetMode="External"/><Relationship Id="rId131" Type="http://schemas.openxmlformats.org/officeDocument/2006/relationships/hyperlink" Target="https://cdscomposites.com/api/validation/exercises?exercise=converted-ply-a6a0eeb90a" TargetMode="External"/><Relationship Id="rId132" Type="http://schemas.openxmlformats.org/officeDocument/2006/relationships/hyperlink" Target="https://cdscomposites.com/api/validation/exercises?exercise=converted-ply-1b70537ea7" TargetMode="External"/><Relationship Id="rId133" Type="http://schemas.openxmlformats.org/officeDocument/2006/relationships/hyperlink" Target="https://cdscomposites.com/api/validation/exercises?exercise=converted-layup-ba5183518c" TargetMode="External"/><Relationship Id="rId134" Type="http://schemas.openxmlformats.org/officeDocument/2006/relationships/hyperlink" Target="https://cdscomposites.com/api/validation/exercises?exercise=converted-layup-4420318f9b" TargetMode="External"/><Relationship Id="rId135" Type="http://schemas.openxmlformats.org/officeDocument/2006/relationships/hyperlink" Target="https://cdscomposites.com/api/validation/exercises?exercise=converted-layup-998750897d" TargetMode="External"/><Relationship Id="rId136" Type="http://schemas.openxmlformats.org/officeDocument/2006/relationships/hyperlink" Target="https://cdscomposites.com/api/validation/exercises?exercise=converted-layup-810221d34d" TargetMode="External"/><Relationship Id="rId137" Type="http://schemas.openxmlformats.org/officeDocument/2006/relationships/hyperlink" Target="https://cdscomposites.com/api/validation/exercises?exercise=converted-layup-4ffd13f121" TargetMode="External"/><Relationship Id="rId138" Type="http://schemas.openxmlformats.org/officeDocument/2006/relationships/hyperlink" Target="https://cdscomposites.com/api/validation/exercises?exercise=converted-layup-c0ae1461f2" TargetMode="External"/><Relationship Id="rId139" Type="http://schemas.openxmlformats.org/officeDocument/2006/relationships/hyperlink" Target="https://cdscomposites.com/api/validation/exercises?exercise=converted-layup-571d1017c9" TargetMode="External"/><Relationship Id="rId140" Type="http://schemas.openxmlformats.org/officeDocument/2006/relationships/hyperlink" Target="https://cdscomposites.com/api/validation/exercises?exercise=converted-layup-df1b49e9e2" TargetMode="External"/><Relationship Id="rId141" Type="http://schemas.openxmlformats.org/officeDocument/2006/relationships/hyperlink" Target="https://cdscomposites.com/api/validation/exercises?exercise=converted-layup-a3cc615593" TargetMode="External"/><Relationship Id="rId142" Type="http://schemas.openxmlformats.org/officeDocument/2006/relationships/hyperlink" Target="https://cdscomposites.com/api/validation/exercises?exercise=converted-analysis-f528b12cc8" TargetMode="External"/><Relationship Id="rId143" Type="http://schemas.openxmlformats.org/officeDocument/2006/relationships/hyperlink" Target="https://cdscomposites.com/api/validation/exercises?exercise=converted-analysis-a680929a91" TargetMode="External"/><Relationship Id="rId144" Type="http://schemas.openxmlformats.org/officeDocument/2006/relationships/hyperlink" Target="https://cdscomposites.com/api/validation/exercises?exercise=converted-analysis-1c1f358336" TargetMode="External"/><Relationship Id="rId145" Type="http://schemas.openxmlformats.org/officeDocument/2006/relationships/hyperlink" Target="https://cdscomposites.com/api/validation/exercises?exercise=fsdt-01" TargetMode="External"/><Relationship Id="rId146" Type="http://schemas.openxmlformats.org/officeDocument/2006/relationships/hyperlink" Target="https://cdscomposites.com/api/validation/exercises?exercise=fsdt-02" TargetMode="External"/><Relationship Id="rId147" Type="http://schemas.openxmlformats.org/officeDocument/2006/relationships/hyperlink" Target="https://cdscomposites.com/api/validation/exercises?exercise=fsdt-03" TargetMode="External"/><Relationship Id="rId148" Type="http://schemas.openxmlformats.org/officeDocument/2006/relationships/hyperlink" Target="https://cdscomposites.com/api/validation/exercises?exercise=fsdt-04" TargetMode="External"/><Relationship Id="rId149" Type="http://schemas.openxmlformats.org/officeDocument/2006/relationships/hyperlink" Target="https://cdscomposites.com/api/validation/exercises?exercise=fsdt-05" TargetMode="External"/><Relationship Id="rId150" Type="http://schemas.openxmlformats.org/officeDocument/2006/relationships/hyperlink" Target="https://cdscomposites.com/api/validation/exercises?exercise=fsdt-06" TargetMode="External"/><Relationship Id="rId151" Type="http://schemas.openxmlformats.org/officeDocument/2006/relationships/hyperlink" Target="https://cdscomposites.com/api/validation/exercises?exercise=advanced-astm_compression" TargetMode="External"/><Relationship Id="rId152" Type="http://schemas.openxmlformats.org/officeDocument/2006/relationships/hyperlink" Target="https://cdscomposites.com/api/validation/exercises?exercise=advanced-astm_shear" TargetMode="External"/><Relationship Id="rId153" Type="http://schemas.openxmlformats.org/officeDocument/2006/relationships/hyperlink" Target="https://cdscomposites.com/api/validation/exercises?exercise=advanced-astm_dcb" TargetMode="External"/><Relationship Id="rId154" Type="http://schemas.openxmlformats.org/officeDocument/2006/relationships/hyperlink" Target="https://cdscomposites.com/api/validation/exercises?exercise=advanced-astm_enf" TargetMode="External"/><Relationship Id="rId155" Type="http://schemas.openxmlformats.org/officeDocument/2006/relationships/hyperlink" Target="https://cdscomposites.com/api/validation/exercises?exercise=advanced-astm_mmb" TargetMode="External"/><Relationship Id="rId156" Type="http://schemas.openxmlformats.org/officeDocument/2006/relationships/hyperlink" Target="https://cdscomposites.com/api/validation/exercises?exercise=advanced-astm_conditioning" TargetMode="External"/><Relationship Id="rId157" Type="http://schemas.openxmlformats.org/officeDocument/2006/relationships/hyperlink" Target="https://cdscomposites.com/api/validation/exercises?exercise=advanced-astm_bearing" TargetMode="External"/><Relationship Id="rId158" Type="http://schemas.openxmlformats.org/officeDocument/2006/relationships/hyperlink" Target="https://cdscomposites.com/api/validation/exercises?exercise=advanced-astm_ohc" TargetMode="External"/><Relationship Id="rId159" Type="http://schemas.openxmlformats.org/officeDocument/2006/relationships/hyperlink" Target="https://cdscomposites.com/api/validation/exercises?exercise=advanced-astm_filled" TargetMode="External"/><Relationship Id="rId160" Type="http://schemas.openxmlformats.org/officeDocument/2006/relationships/hyperlink" Target="https://cdscomposites.com/api/validation/exercises?exercise=advanced-astm_impact_cai" TargetMode="External"/><Relationship Id="rId161" Type="http://schemas.openxmlformats.org/officeDocument/2006/relationships/hyperlink" Target="https://cdscomposites.com/api/validation/exercises?exercise=advanced-em_wiener" TargetMode="External"/><Relationship Id="rId162" Type="http://schemas.openxmlformats.org/officeDocument/2006/relationships/hyperlink" Target="https://cdscomposites.com/api/validation/exercises?exercise=advanced-em_looyenga" TargetMode="External"/><Relationship Id="rId163" Type="http://schemas.openxmlformats.org/officeDocument/2006/relationships/hyperlink" Target="https://cdscomposites.com/api/validation/exercises?exercise=advanced-em_maxwell-garnett" TargetMode="External"/><Relationship Id="rId164" Type="http://schemas.openxmlformats.org/officeDocument/2006/relationships/hyperlink" Target="https://cdscomposites.com/api/validation/exercises?exercise=advanced-em_tmm-normal" TargetMode="External"/><Relationship Id="rId165" Type="http://schemas.openxmlformats.org/officeDocument/2006/relationships/hyperlink" Target="https://cdscomposites.com/api/validation/exercises?exercise=advanced-em_bruggeman" TargetMode="External"/><Relationship Id="rId166" Type="http://schemas.openxmlformats.org/officeDocument/2006/relationships/hyperlink" Target="https://cdscomposites.com/api/validation/exercises?exercise=advanced-em_mori-tanaka" TargetMode="External"/><Relationship Id="rId167" Type="http://schemas.openxmlformats.org/officeDocument/2006/relationships/hyperlink" Target="https://cdscomposites.com/api/validation/exercises?exercise=advanced-em_self-consistent" TargetMode="External"/><Relationship Id="rId168" Type="http://schemas.openxmlformats.org/officeDocument/2006/relationships/hyperlink" Target="https://cdscomposites.com/api/validation/exercises?exercise=advanced-em_dem" TargetMode="External"/><Relationship Id="rId169" Type="http://schemas.openxmlformats.org/officeDocument/2006/relationships/hyperlink" Target="https://cdscomposites.com/api/validation/exercises?exercise=advanced-em_coated" TargetMode="External"/><Relationship Id="rId170" Type="http://schemas.openxmlformats.org/officeDocument/2006/relationships/hyperlink" Target="https://cdscomposites.com/api/validation/exercises?exercise=advanced-em_multiphase" TargetMode="External"/><Relationship Id="rId171" Type="http://schemas.openxmlformats.org/officeDocument/2006/relationships/hyperlink" Target="https://cdscomposites.com/api/validation/exercises?exercise=advanced-em_tmm-oblique" TargetMode="External"/><Relationship Id="rId172" Type="http://schemas.openxmlformats.org/officeDocument/2006/relationships/hyperlink" Target="https://cdscomposites.com/api/validation/exercises?exercise=advanced-em_tlm" TargetMode="External"/><Relationship Id="rId173" Type="http://schemas.openxmlformats.org/officeDocument/2006/relationships/hyperlink" Target="https://cdscomposites.com/api/validation/exercises?exercise=advanced-em_bloch" TargetMode="External"/><Relationship Id="rId174" Type="http://schemas.openxmlformats.org/officeDocument/2006/relationships/hyperlink" Target="https://cdscomposites.com/api/validation/exercises?exercise=advanced-notch" TargetMode="External"/><Relationship Id="rId175" Type="http://schemas.openxmlformats.org/officeDocument/2006/relationships/hyperlink" Target="https://cdscomposites.com/api/validation/exercises?exercise=advanced-viscoelastic" TargetMode="External"/><Relationship Id="rId176" Type="http://schemas.openxmlformats.org/officeDocument/2006/relationships/hyperlink" Target="https://cdscomposites.com/api/validation/exercises?exercise=advanced-bonded_joint" TargetMode="External"/><Relationship Id="rId177" Type="http://schemas.openxmlformats.org/officeDocument/2006/relationships/hyperlink" Target="https://cdscomposites.com/api/validation/exercises?exercise=advanced-larc04" TargetMode="External"/><Relationship Id="rId178" Type="http://schemas.openxmlformats.org/officeDocument/2006/relationships/hyperlink" Target="https://cdscomposites.com/api/validation/exercises?exercise=advanced-cure_shape" TargetMode="External"/><Relationship Id="rId179" Type="http://schemas.openxmlformats.org/officeDocument/2006/relationships/hyperlink" Target="https://cdscomposites.com/api/validation/exercises?exercise=advanced-fatigue_residual" TargetMode="External"/><Relationship Id="rId180" Type="http://schemas.openxmlformats.org/officeDocument/2006/relationships/hyperlink" Target="https://cdscomposites.com/api/validation/exercises?exercise=advanced-shell_buckling" TargetMode="External"/><Relationship Id="rId181" Type="http://schemas.openxmlformats.org/officeDocument/2006/relationships/hyperlink" Target="https://cdscomposites.com/api/validation/exercises?exercise=advanced-uncertainty" TargetMode="External"/><Relationship Id="rId182" Type="http://schemas.openxmlformats.org/officeDocument/2006/relationships/hyperlink" Target="https://cdscomposites.com/api/validation/exercises?exercise=optimization-01" TargetMode="External"/><Relationship Id="rId183" Type="http://schemas.openxmlformats.org/officeDocument/2006/relationships/hyperlink" Target="https://cdscomposites.com/api/validation/exercises?exercise=optimization-02" TargetMode="External"/><Relationship Id="rId184" Type="http://schemas.openxmlformats.org/officeDocument/2006/relationships/hyperlink" Target="https://cdscomposites.com/api/validation/exercises?exercise=optimization-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Getting Started Handbook</dc:title>
  <dc:subject/>
  <dc:creator>CDS Composites</dc:creator>
  <cp:keywords/>
  <dc:description>generated by python-docx</dc:description>
  <cp:lastModifiedBy/>
  <cp:revision>1</cp:revision>
  <dcterms:created xsi:type="dcterms:W3CDTF">2013-12-23T23:15:00Z</dcterms:created>
  <dcterms:modified xsi:type="dcterms:W3CDTF">2013-12-23T23:15:00Z</dcterms:modified>
  <cp:category/>
</cp:coreProperties>
</file>